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D65A00">
      <w:pPr>
        <w:spacing w:after="0" w:line="24" w:lineRule="atLeast"/>
        <w:ind w:left="720" w:right="720"/>
        <w:jc w:val="center"/>
        <w:rPr>
          <w:rFonts w:ascii="Goudy Old Style" w:hAnsi="Goudy Old Style" w:cstheme="majorBidi"/>
          <w:b/>
          <w:bCs/>
        </w:rPr>
      </w:pPr>
    </w:p>
    <w:p w14:paraId="48D8D71E">
      <w:pPr>
        <w:spacing w:after="0" w:line="24" w:lineRule="atLeast"/>
        <w:jc w:val="center"/>
        <w:rPr>
          <w:rFonts w:ascii="Goudy Old Style" w:hAnsi="Goudy Old Style"/>
          <w:b/>
          <w:bCs/>
          <w:color w:val="374151"/>
          <w:sz w:val="24"/>
          <w:szCs w:val="24"/>
          <w:shd w:val="clear" w:color="auto" w:fill="F7F7F8"/>
        </w:rPr>
      </w:pPr>
      <w:bookmarkStart w:id="0" w:name="_Hlk191248725"/>
      <w:r>
        <w:rPr>
          <w:rFonts w:hint="default" w:ascii="Goudy Old Style" w:hAnsi="Goudy Old Style"/>
          <w:b/>
          <w:bCs/>
          <w:spacing w:val="2"/>
          <w:sz w:val="24"/>
          <w:szCs w:val="24"/>
          <w:shd w:val="clear" w:color="auto" w:fill="FFFFFF"/>
        </w:rPr>
        <w:t>BIOMATHEMATICS AND ARTIFICIAL INTELLIGENCE: MATHEMATICAL MODELING OF COMPLEX BIOLOGICAL SYSTEMS IN THE DIGITAL ERA</w:t>
      </w:r>
      <w:bookmarkEnd w:id="0"/>
    </w:p>
    <w:p w14:paraId="6AD2A511">
      <w:pPr>
        <w:tabs>
          <w:tab w:val="left" w:pos="6766"/>
        </w:tabs>
        <w:autoSpaceDE w:val="0"/>
        <w:autoSpaceDN w:val="0"/>
        <w:adjustRightInd w:val="0"/>
        <w:spacing w:after="0" w:line="24" w:lineRule="atLeast"/>
        <w:ind w:right="-450"/>
        <w:jc w:val="center"/>
        <w:rPr>
          <w:rFonts w:ascii="Goudy Old Style" w:hAnsi="Goudy Old Style"/>
          <w:b/>
          <w:sz w:val="15"/>
          <w:szCs w:val="15"/>
        </w:rPr>
      </w:pPr>
    </w:p>
    <w:p w14:paraId="1F41594D">
      <w:pPr>
        <w:pStyle w:val="103"/>
        <w:spacing w:after="0"/>
        <w:ind w:firstLine="0"/>
        <w:jc w:val="center"/>
        <w:rPr>
          <w:rFonts w:hint="default" w:ascii="Goudy Old Style" w:hAnsi="Goudy Old Style" w:cs="Goudy Old Style"/>
          <w:b/>
          <w:bCs/>
          <w:color w:val="0D0D0D" w:themeColor="text1" w:themeTint="F2"/>
          <w:sz w:val="28"/>
          <w:szCs w:val="28"/>
          <w:lang w:val="en-US"/>
          <w14:textFill>
            <w14:solidFill>
              <w14:schemeClr w14:val="tx1">
                <w14:lumMod w14:val="95000"/>
                <w14:lumOff w14:val="5000"/>
              </w14:schemeClr>
            </w14:solidFill>
          </w14:textFill>
        </w:rPr>
      </w:pPr>
      <w:r>
        <w:rPr>
          <w:rFonts w:hint="default" w:ascii="Goudy Old Style" w:hAnsi="Goudy Old Style"/>
          <w:b/>
          <w:bCs/>
          <w:color w:val="0D0D0D" w:themeColor="text1" w:themeTint="F2"/>
          <w:w w:val="110"/>
          <w:sz w:val="28"/>
          <w:szCs w:val="28"/>
          <w:vertAlign w:val="superscript"/>
          <w:lang w:val="en-US"/>
          <w14:textFill>
            <w14:solidFill>
              <w14:schemeClr w14:val="tx1">
                <w14:lumMod w14:val="95000"/>
                <w14:lumOff w14:val="5000"/>
              </w14:schemeClr>
            </w14:solidFill>
          </w14:textFill>
        </w:rPr>
        <w:t>1</w:t>
      </w:r>
      <w:r>
        <w:rPr>
          <w:rFonts w:hint="default" w:ascii="Goudy Old Style" w:hAnsi="Goudy Old Style"/>
          <w:b/>
          <w:bCs/>
          <w:color w:val="0D0D0D" w:themeColor="text1" w:themeTint="F2"/>
          <w:w w:val="110"/>
          <w:sz w:val="28"/>
          <w:szCs w:val="28"/>
          <w14:textFill>
            <w14:solidFill>
              <w14:schemeClr w14:val="tx1">
                <w14:lumMod w14:val="95000"/>
                <w14:lumOff w14:val="5000"/>
              </w14:schemeClr>
            </w14:solidFill>
          </w14:textFill>
        </w:rPr>
        <w:t xml:space="preserve">Muhammad Yasir </w:t>
      </w:r>
      <w:bookmarkStart w:id="1" w:name="_GoBack"/>
      <w:r>
        <w:rPr>
          <w:rFonts w:hint="default" w:ascii="Goudy Old Style" w:hAnsi="Goudy Old Style"/>
          <w:b/>
          <w:bCs/>
          <w:color w:val="0D0D0D" w:themeColor="text1" w:themeTint="F2"/>
          <w:w w:val="110"/>
          <w:sz w:val="28"/>
          <w:szCs w:val="28"/>
          <w14:textFill>
            <w14:solidFill>
              <w14:schemeClr w14:val="tx1">
                <w14:lumMod w14:val="95000"/>
                <w14:lumOff w14:val="5000"/>
              </w14:schemeClr>
            </w14:solidFill>
          </w14:textFill>
        </w:rPr>
        <w:t>Khan</w:t>
      </w:r>
      <w:bookmarkEnd w:id="1"/>
      <w:r>
        <w:rPr>
          <w:rFonts w:hint="default" w:ascii="Goudy Old Style" w:hAnsi="Goudy Old Style"/>
          <w:b/>
          <w:bCs/>
          <w:color w:val="0D0D0D" w:themeColor="text1" w:themeTint="F2"/>
          <w:w w:val="110"/>
          <w:sz w:val="28"/>
          <w:szCs w:val="28"/>
          <w:lang w:val="en-US"/>
          <w14:textFill>
            <w14:solidFill>
              <w14:schemeClr w14:val="tx1">
                <w14:lumMod w14:val="95000"/>
                <w14:lumOff w14:val="5000"/>
              </w14:schemeClr>
            </w14:solidFill>
          </w14:textFill>
        </w:rPr>
        <w:t xml:space="preserve">, </w:t>
      </w:r>
      <w:r>
        <w:rPr>
          <w:rFonts w:hint="default" w:ascii="Goudy Old Style" w:hAnsi="Goudy Old Style"/>
          <w:b/>
          <w:bCs/>
          <w:color w:val="0D0D0D" w:themeColor="text1" w:themeTint="F2"/>
          <w:w w:val="110"/>
          <w:sz w:val="28"/>
          <w:szCs w:val="28"/>
          <w:vertAlign w:val="superscript"/>
          <w:lang w:val="en-US"/>
          <w14:textFill>
            <w14:solidFill>
              <w14:schemeClr w14:val="tx1">
                <w14:lumMod w14:val="95000"/>
                <w14:lumOff w14:val="5000"/>
              </w14:schemeClr>
            </w14:solidFill>
          </w14:textFill>
        </w:rPr>
        <w:t>2</w:t>
      </w:r>
      <w:r>
        <w:rPr>
          <w:rFonts w:hint="default" w:ascii="Goudy Old Style" w:hAnsi="Goudy Old Style"/>
          <w:b/>
          <w:bCs/>
          <w:color w:val="0D0D0D" w:themeColor="text1" w:themeTint="F2"/>
          <w:w w:val="110"/>
          <w:sz w:val="28"/>
          <w:szCs w:val="28"/>
          <w14:textFill>
            <w14:solidFill>
              <w14:schemeClr w14:val="tx1">
                <w14:lumMod w14:val="95000"/>
                <w14:lumOff w14:val="5000"/>
              </w14:schemeClr>
            </w14:solidFill>
          </w14:textFill>
        </w:rPr>
        <w:t>Azka Kausar</w:t>
      </w:r>
    </w:p>
    <w:p w14:paraId="529848A7">
      <w:pPr>
        <w:pStyle w:val="103"/>
        <w:spacing w:after="0"/>
        <w:jc w:val="center"/>
        <w:rPr>
          <w:rFonts w:hint="default" w:ascii="Goudy Old Style" w:hAnsi="Goudy Old Style"/>
          <w:i/>
          <w:iCs/>
          <w:w w:val="110"/>
          <w:sz w:val="24"/>
          <w:szCs w:val="24"/>
        </w:rPr>
      </w:pPr>
      <w:r>
        <w:rPr>
          <w:rFonts w:hint="default" w:ascii="Goudy Old Style" w:hAnsi="Goudy Old Style"/>
          <w:i/>
          <w:iCs/>
          <w:w w:val="110"/>
          <w:sz w:val="24"/>
          <w:szCs w:val="24"/>
          <w:vertAlign w:val="superscript"/>
          <w:lang w:val="en-US"/>
        </w:rPr>
        <w:t>1</w:t>
      </w:r>
      <w:r>
        <w:rPr>
          <w:rFonts w:hint="default" w:ascii="Goudy Old Style" w:hAnsi="Goudy Old Style"/>
          <w:i/>
          <w:iCs/>
          <w:w w:val="110"/>
          <w:sz w:val="24"/>
          <w:szCs w:val="24"/>
        </w:rPr>
        <w:t>MS, Department of Mathematics, COMSATS UNIVERSITY Islamabad</w:t>
      </w:r>
    </w:p>
    <w:p w14:paraId="44506FAB">
      <w:pPr>
        <w:pStyle w:val="103"/>
        <w:spacing w:after="0"/>
        <w:jc w:val="center"/>
        <w:rPr>
          <w:rFonts w:hint="default" w:ascii="Goudy Old Style" w:hAnsi="Goudy Old Style"/>
          <w:i/>
          <w:iCs/>
          <w:w w:val="110"/>
          <w:sz w:val="24"/>
          <w:szCs w:val="24"/>
        </w:rPr>
      </w:pPr>
      <w:r>
        <w:rPr>
          <w:rFonts w:hint="default" w:ascii="Goudy Old Style" w:hAnsi="Goudy Old Style"/>
          <w:i/>
          <w:iCs/>
          <w:w w:val="110"/>
          <w:sz w:val="24"/>
          <w:szCs w:val="24"/>
          <w:vertAlign w:val="superscript"/>
          <w:lang w:val="en-US"/>
        </w:rPr>
        <w:t>2</w:t>
      </w:r>
      <w:r>
        <w:rPr>
          <w:rFonts w:hint="default" w:ascii="Goudy Old Style" w:hAnsi="Goudy Old Style"/>
          <w:i/>
          <w:iCs/>
          <w:w w:val="110"/>
          <w:sz w:val="24"/>
          <w:szCs w:val="24"/>
        </w:rPr>
        <w:t>Student, Department of Mathematics, COMSATS University Islamabad, Wah Campus</w:t>
      </w:r>
    </w:p>
    <w:p w14:paraId="354A1DA1">
      <w:pPr>
        <w:pStyle w:val="103"/>
        <w:spacing w:after="0"/>
        <w:jc w:val="center"/>
        <w:rPr>
          <w:rFonts w:hint="default" w:ascii="Goudy Old Style" w:hAnsi="Goudy Old Style"/>
          <w:i/>
          <w:iCs/>
          <w:w w:val="110"/>
          <w:sz w:val="24"/>
          <w:szCs w:val="24"/>
          <w:lang w:val="en-US"/>
        </w:rPr>
      </w:pPr>
      <w:r>
        <w:rPr>
          <w:rFonts w:hint="default" w:ascii="Goudy Old Style" w:hAnsi="Goudy Old Style"/>
          <w:i/>
          <w:iCs/>
          <w:w w:val="110"/>
          <w:sz w:val="24"/>
          <w:szCs w:val="24"/>
          <w:vertAlign w:val="superscript"/>
          <w:lang w:val="en-US"/>
        </w:rPr>
        <w:fldChar w:fldCharType="begin"/>
      </w:r>
      <w:r>
        <w:rPr>
          <w:rFonts w:hint="default" w:ascii="Goudy Old Style" w:hAnsi="Goudy Old Style"/>
          <w:i/>
          <w:iCs/>
          <w:w w:val="110"/>
          <w:sz w:val="24"/>
          <w:szCs w:val="24"/>
          <w:vertAlign w:val="superscript"/>
          <w:lang w:val="en-US"/>
        </w:rPr>
        <w:instrText xml:space="preserve"> HYPERLINK "mailto:1myasirniazi69638@gmail.com" </w:instrText>
      </w:r>
      <w:r>
        <w:rPr>
          <w:rFonts w:hint="default" w:ascii="Goudy Old Style" w:hAnsi="Goudy Old Style"/>
          <w:i/>
          <w:iCs/>
          <w:w w:val="110"/>
          <w:sz w:val="24"/>
          <w:szCs w:val="24"/>
          <w:vertAlign w:val="superscript"/>
          <w:lang w:val="en-US"/>
        </w:rPr>
        <w:fldChar w:fldCharType="separate"/>
      </w:r>
      <w:r>
        <w:rPr>
          <w:rStyle w:val="25"/>
          <w:rFonts w:hint="default" w:ascii="Goudy Old Style" w:hAnsi="Goudy Old Style"/>
          <w:i/>
          <w:iCs/>
          <w:w w:val="110"/>
          <w:sz w:val="24"/>
          <w:szCs w:val="24"/>
          <w:vertAlign w:val="superscript"/>
          <w:lang w:val="en-US"/>
        </w:rPr>
        <w:t>1</w:t>
      </w:r>
      <w:r>
        <w:rPr>
          <w:rStyle w:val="25"/>
          <w:rFonts w:hint="default" w:ascii="Goudy Old Style" w:hAnsi="Goudy Old Style"/>
          <w:i/>
          <w:iCs/>
          <w:w w:val="110"/>
          <w:sz w:val="24"/>
          <w:szCs w:val="24"/>
        </w:rPr>
        <w:t>myasirniazi69638@gmail.com</w:t>
      </w:r>
      <w:r>
        <w:rPr>
          <w:rFonts w:hint="default" w:ascii="Goudy Old Style" w:hAnsi="Goudy Old Style"/>
          <w:i/>
          <w:iCs/>
          <w:w w:val="110"/>
          <w:sz w:val="24"/>
          <w:szCs w:val="24"/>
          <w:vertAlign w:val="superscript"/>
          <w:lang w:val="en-US"/>
        </w:rPr>
        <w:fldChar w:fldCharType="end"/>
      </w:r>
      <w:r>
        <w:rPr>
          <w:rFonts w:hint="default" w:ascii="Goudy Old Style" w:hAnsi="Goudy Old Style"/>
          <w:i/>
          <w:iCs/>
          <w:w w:val="110"/>
          <w:sz w:val="24"/>
          <w:szCs w:val="24"/>
          <w:vertAlign w:val="superscript"/>
          <w:lang w:val="en-US"/>
        </w:rPr>
        <w:t xml:space="preserve">, </w:t>
      </w:r>
      <w:r>
        <w:rPr>
          <w:rFonts w:hint="default" w:ascii="Goudy Old Style" w:hAnsi="Goudy Old Style"/>
          <w:i/>
          <w:iCs/>
          <w:w w:val="110"/>
          <w:sz w:val="24"/>
          <w:szCs w:val="24"/>
          <w:vertAlign w:val="superscript"/>
          <w:lang w:val="en-US"/>
        </w:rPr>
        <w:fldChar w:fldCharType="begin"/>
      </w:r>
      <w:r>
        <w:rPr>
          <w:rFonts w:hint="default" w:ascii="Goudy Old Style" w:hAnsi="Goudy Old Style"/>
          <w:i/>
          <w:iCs/>
          <w:w w:val="110"/>
          <w:sz w:val="24"/>
          <w:szCs w:val="24"/>
          <w:vertAlign w:val="superscript"/>
          <w:lang w:val="en-US"/>
        </w:rPr>
        <w:instrText xml:space="preserve"> HYPERLINK "mailto:2azkatahir88@gmail.com" </w:instrText>
      </w:r>
      <w:r>
        <w:rPr>
          <w:rFonts w:hint="default" w:ascii="Goudy Old Style" w:hAnsi="Goudy Old Style"/>
          <w:i/>
          <w:iCs/>
          <w:w w:val="110"/>
          <w:sz w:val="24"/>
          <w:szCs w:val="24"/>
          <w:vertAlign w:val="superscript"/>
          <w:lang w:val="en-US"/>
        </w:rPr>
        <w:fldChar w:fldCharType="separate"/>
      </w:r>
      <w:r>
        <w:rPr>
          <w:rStyle w:val="25"/>
          <w:rFonts w:hint="default" w:ascii="Goudy Old Style" w:hAnsi="Goudy Old Style"/>
          <w:i/>
          <w:iCs/>
          <w:w w:val="110"/>
          <w:sz w:val="24"/>
          <w:szCs w:val="24"/>
          <w:vertAlign w:val="superscript"/>
          <w:lang w:val="en-US"/>
        </w:rPr>
        <w:t>2</w:t>
      </w:r>
      <w:r>
        <w:rPr>
          <w:rStyle w:val="25"/>
          <w:rFonts w:hint="default" w:ascii="Goudy Old Style" w:hAnsi="Goudy Old Style"/>
          <w:i/>
          <w:iCs/>
          <w:w w:val="110"/>
          <w:sz w:val="24"/>
          <w:szCs w:val="24"/>
        </w:rPr>
        <w:t>azkatahir88@gmail.com</w:t>
      </w:r>
      <w:r>
        <w:rPr>
          <w:rFonts w:hint="default" w:ascii="Goudy Old Style" w:hAnsi="Goudy Old Style"/>
          <w:i/>
          <w:iCs/>
          <w:w w:val="110"/>
          <w:sz w:val="24"/>
          <w:szCs w:val="24"/>
          <w:vertAlign w:val="superscript"/>
          <w:lang w:val="en-US"/>
        </w:rPr>
        <w:fldChar w:fldCharType="end"/>
      </w:r>
      <w:r>
        <w:rPr>
          <w:rFonts w:hint="default" w:ascii="Goudy Old Style" w:hAnsi="Goudy Old Style"/>
          <w:i/>
          <w:iCs/>
          <w:w w:val="110"/>
          <w:sz w:val="24"/>
          <w:szCs w:val="24"/>
          <w:lang w:val="en-US"/>
        </w:rPr>
        <w:t xml:space="preserve"> </w:t>
      </w:r>
      <w:r>
        <w:rPr>
          <w:rFonts w:hint="default" w:ascii="Goudy Old Style" w:hAnsi="Goudy Old Style"/>
          <w:i/>
          <w:iCs/>
          <w:w w:val="110"/>
          <w:sz w:val="24"/>
          <w:szCs w:val="24"/>
        </w:rPr>
        <w:t xml:space="preserve">   </w:t>
      </w:r>
      <w:r>
        <w:rPr>
          <w:rFonts w:hint="default" w:ascii="Goudy Old Style" w:hAnsi="Goudy Old Style"/>
          <w:i/>
          <w:iCs/>
          <w:w w:val="110"/>
          <w:sz w:val="24"/>
          <w:szCs w:val="24"/>
          <w:lang w:val="en-US"/>
        </w:rPr>
        <w:t xml:space="preserve"> </w:t>
      </w:r>
    </w:p>
    <w:p w14:paraId="04B4F81E">
      <w:pPr>
        <w:pStyle w:val="103"/>
        <w:spacing w:after="0"/>
        <w:jc w:val="center"/>
        <w:rPr>
          <w:rFonts w:hint="default" w:ascii="Goudy Old Style" w:hAnsi="Goudy Old Style"/>
          <w:bCs/>
          <w:i/>
          <w:iCs/>
          <w:sz w:val="13"/>
          <w:szCs w:val="13"/>
          <w:vertAlign w:val="baseline"/>
          <w:lang w:val="en-US"/>
        </w:rPr>
      </w:pPr>
    </w:p>
    <w:p w14:paraId="37BD2B71">
      <w:pPr>
        <w:keepNext w:val="0"/>
        <w:keepLines w:val="0"/>
        <w:widowControl/>
        <w:suppressLineNumbers w:val="0"/>
        <w:jc w:val="left"/>
      </w:pPr>
      <w:r>
        <w:rPr>
          <w:rFonts w:ascii="Goudy Old Style" w:hAnsi="Goudy Old Style"/>
          <w:color w:val="FFFFFF" w:themeColor="background1"/>
          <w:sz w:val="24"/>
          <w:szCs w:val="24"/>
          <w:shd w:val="clear" w:color="auto" w:fill="252525" w:themeFill="text1" w:themeFillTint="D9"/>
          <w14:textFill>
            <w14:solidFill>
              <w14:schemeClr w14:val="bg1"/>
            </w14:solidFill>
          </w14:textFill>
        </w:rPr>
        <mc:AlternateContent>
          <mc:Choice Requires="wps">
            <w:drawing>
              <wp:anchor distT="0" distB="0" distL="114300" distR="114300" simplePos="0" relativeHeight="251662336" behindDoc="0" locked="0" layoutInCell="1" allowOverlap="1">
                <wp:simplePos x="0" y="0"/>
                <wp:positionH relativeFrom="column">
                  <wp:posOffset>-901065</wp:posOffset>
                </wp:positionH>
                <wp:positionV relativeFrom="paragraph">
                  <wp:posOffset>177165</wp:posOffset>
                </wp:positionV>
                <wp:extent cx="7752715" cy="0"/>
                <wp:effectExtent l="63500" t="50165" r="70485" b="83185"/>
                <wp:wrapNone/>
                <wp:docPr id="3" name="AutoShape 4"/>
                <wp:cNvGraphicFramePr/>
                <a:graphic xmlns:a="http://schemas.openxmlformats.org/drawingml/2006/main">
                  <a:graphicData uri="http://schemas.microsoft.com/office/word/2010/wordprocessingShape">
                    <wps:wsp>
                      <wps:cNvCnPr>
                        <a:cxnSpLocks noChangeShapeType="1"/>
                      </wps:cNvCnPr>
                      <wps:spPr bwMode="auto">
                        <a:xfrm flipV="1">
                          <a:off x="0" y="0"/>
                          <a:ext cx="7752715" cy="0"/>
                        </a:xfrm>
                        <a:prstGeom prst="straightConnector1">
                          <a:avLst/>
                        </a:prstGeom>
                        <a:noFill/>
                        <a:ln w="12700" cap="flat" cmpd="sng" algn="ctr">
                          <a:solidFill>
                            <a:srgbClr val="000000"/>
                          </a:solidFill>
                          <a:prstDash val="solid"/>
                          <a:miter lim="800000"/>
                        </a:ln>
                        <a:effectLst>
                          <a:glow rad="63500">
                            <a:srgbClr val="A5A5A5">
                              <a:satMod val="175000"/>
                              <a:alpha val="40000"/>
                            </a:srgbClr>
                          </a:glow>
                        </a:effectLst>
                      </wps:spPr>
                      <wps:bodyPr/>
                    </wps:wsp>
                  </a:graphicData>
                </a:graphic>
              </wp:anchor>
            </w:drawing>
          </mc:Choice>
          <mc:Fallback>
            <w:pict>
              <v:shape id="AutoShape 4" o:spid="_x0000_s1026" o:spt="32" type="#_x0000_t32" style="position:absolute;left:0pt;flip:y;margin-left:-70.95pt;margin-top:13.95pt;height:0pt;width:610.45pt;z-index:251662336;mso-width-relative:page;mso-height-relative:page;" filled="f" stroked="t" coordsize="21600,21600" o:gfxdata="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unQljZAAAACwEAAA8AAAAAAAAAAQAgAAAAIgAAAGRycy9kb3du&#10;cmV2LnhtbFBLAQIUABQAAAAIAIdO4kBfzLAfNwIAAI4EAAAOAAAAAAAAAAEAIAAAACgBAABkcnMv&#10;ZTJvRG9jLnhtbFBLBQYAAAAABgAGAFkBAADRBQAAAAA=&#10;">
                <v:fill on="f" focussize="0,0"/>
                <v:stroke weight="1pt" color="#000000" miterlimit="8" joinstyle="miter"/>
                <v:imagedata o:title=""/>
                <o:lock v:ext="edit" aspectratio="f"/>
              </v:shape>
            </w:pict>
          </mc:Fallback>
        </mc:AlternateContent>
      </w:r>
      <w:r>
        <w:rPr>
          <w:rFonts w:ascii="Goudy Old Style" w:hAnsi="Goudy Old Style" w:cstheme="majorBidi"/>
          <w:b/>
          <w:bCs/>
          <w:color w:val="FFFFFF" w:themeColor="background1"/>
          <w:sz w:val="24"/>
          <w:szCs w:val="24"/>
          <w:shd w:val="clear" w:color="auto" w:fill="252525" w:themeFill="text1" w:themeFillTint="D9"/>
          <w14:textFill>
            <w14:solidFill>
              <w14:schemeClr w14:val="bg1"/>
            </w14:solidFill>
          </w14:textFill>
        </w:rPr>
        <w:t>DOI:</w:t>
      </w:r>
      <w:r>
        <w:rPr>
          <w:rFonts w:hint="default" w:ascii="Goudy Old Style" w:hAnsi="Goudy Old Style" w:cstheme="majorBidi"/>
          <w:b/>
          <w:bCs/>
          <w:color w:val="FFFFFF" w:themeColor="background1"/>
          <w:sz w:val="24"/>
          <w:szCs w:val="24"/>
          <w:shd w:val="clear" w:color="auto" w:fill="252525" w:themeFill="text1" w:themeFillTint="D9"/>
          <w:lang w:val="en-US"/>
          <w14:textFill>
            <w14:solidFill>
              <w14:schemeClr w14:val="bg1"/>
            </w14:solidFill>
          </w14:textFill>
        </w:rPr>
        <w:t xml:space="preserve"> https://doi.org/10.5281/zenodo.21203208</w:t>
      </w:r>
    </w:p>
    <w:p w14:paraId="0BE0C7F5">
      <w:pPr>
        <w:tabs>
          <w:tab w:val="left" w:pos="8647"/>
        </w:tabs>
        <w:spacing w:after="0" w:line="24" w:lineRule="atLeast"/>
        <w:ind w:right="6"/>
        <w:rPr>
          <w:rFonts w:hint="default" w:ascii="Goudy Old Style" w:hAnsi="Goudy Old Style" w:cstheme="majorBidi"/>
          <w:color w:val="FFFFFF" w:themeColor="background1"/>
          <w:sz w:val="24"/>
          <w:szCs w:val="24"/>
          <w:lang w:val="en-US"/>
          <w14:textFill>
            <w14:solidFill>
              <w14:schemeClr w14:val="bg1"/>
            </w14:solidFill>
          </w14:textFill>
        </w:rPr>
      </w:pPr>
    </w:p>
    <w:tbl>
      <w:tblPr>
        <w:tblStyle w:val="31"/>
        <w:tblW w:w="98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67"/>
        <w:gridCol w:w="6837"/>
      </w:tblGrid>
      <w:tr w14:paraId="482B2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967" w:type="dxa"/>
            <w:shd w:val="clear" w:color="auto" w:fill="E7E6E6" w:themeFill="background2"/>
          </w:tcPr>
          <w:p w14:paraId="3481E587">
            <w:pPr>
              <w:spacing w:after="0" w:line="24" w:lineRule="atLeast"/>
              <w:rPr>
                <w:rFonts w:ascii="Goudy Old Style" w:hAnsi="Goudy Old Style" w:cs="Times New Roman"/>
                <w:b/>
                <w:bCs/>
                <w:color w:val="000000" w:themeColor="text1"/>
                <w:sz w:val="2"/>
                <w:szCs w:val="20"/>
                <w14:textFill>
                  <w14:solidFill>
                    <w14:schemeClr w14:val="tx1"/>
                  </w14:solidFill>
                </w14:textFill>
              </w:rPr>
            </w:pPr>
          </w:p>
        </w:tc>
        <w:tc>
          <w:tcPr>
            <w:tcW w:w="6837" w:type="dxa"/>
            <w:vMerge w:val="restart"/>
          </w:tcPr>
          <w:p w14:paraId="443D95F9">
            <w:pPr>
              <w:spacing w:after="0" w:line="24" w:lineRule="atLeast"/>
              <w:rPr>
                <w:rFonts w:ascii="Goudy Old Style" w:hAnsi="Goudy Old Style" w:cs="Times New Roman"/>
                <w:b/>
                <w:bCs/>
                <w:color w:val="auto"/>
              </w:rPr>
            </w:pPr>
            <w:r>
              <w:rPr>
                <w:rFonts w:ascii="Goudy Old Style" w:hAnsi="Goudy Old Style" w:cs="Times New Roman"/>
                <w:b/>
                <w:bCs/>
                <w:color w:val="auto"/>
              </w:rPr>
              <w:t>Abstract</w:t>
            </w:r>
          </w:p>
          <w:p w14:paraId="4D0AD395">
            <w:pPr>
              <w:shd w:val="clear" w:color="auto" w:fill="FFFFFF"/>
              <w:spacing w:after="0" w:line="24" w:lineRule="atLeast"/>
              <w:jc w:val="both"/>
              <w:rPr>
                <w:rFonts w:hint="default" w:ascii="Goudy Old Style" w:hAnsi="Goudy Old Style"/>
                <w:bCs/>
                <w:i/>
                <w:iCs/>
                <w:color w:val="000000" w:themeColor="text1"/>
                <w:sz w:val="21"/>
                <w:szCs w:val="21"/>
                <w14:textFill>
                  <w14:solidFill>
                    <w14:schemeClr w14:val="tx1"/>
                  </w14:solidFill>
                </w14:textFill>
              </w:rPr>
            </w:pPr>
            <w:r>
              <w:rPr>
                <w:rFonts w:hint="default" w:ascii="Goudy Old Style" w:hAnsi="Goudy Old Style"/>
                <w:bCs/>
                <w:i/>
                <w:iCs/>
                <w:color w:val="000000" w:themeColor="text1"/>
                <w:sz w:val="22"/>
                <w:szCs w:val="22"/>
                <w:lang w:val="zh-CN"/>
                <w14:textFill>
                  <w14:solidFill>
                    <w14:schemeClr w14:val="tx1"/>
                  </w14:solidFill>
                </w14:textFill>
              </w:rPr>
              <w:t>This research explores the use of biomathematics and artificial intelligence (AI) in modelling complex biological systems in the digital era. A descriptive quantitative approach was used to evaluate perceptions of mathematical modelling, AI, hybrid models, and research challenges in biology. The sample consisted of 150 participants with backgrounds in relevant fields, including biology, biotechnology, bioinformatics, mathematics, computer science, AI, and health. Data collection was conducted using a structured questionnaire with a five-point Likert scale, and data analysis was performed using descriptive statistics. Results showed that 68% of respondents had research experience, and 32% did not. Most respondents identified biomathematics as an important interdisciplinary area at the intersection of biology and statistics, and of computing and data analysis (mean score: 4.31). AI for analyzing huge amounts of biological data was seen as very useful (mean score: 4.36). Biomathematics and AI were found to improve model accuracy (mean score: 4.27), while data quality was the main challenge (mean score: 4.33). The future convergence of mathematics, AI and biology was seen as most important (mean score: 4.38). The findings highlight the influence of digitalization on modern biology and health care. The study found that mathematical-AI models have applications in prediction, interpretation, simulation, and decision-making in biological research. Still, their use will depend on high-quality data, model transparency, ethical considerations, and interdisciplinary training.</w:t>
            </w:r>
          </w:p>
        </w:tc>
      </w:tr>
      <w:tr w14:paraId="6CA35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967" w:type="dxa"/>
            <w:shd w:val="clear" w:color="auto" w:fill="E7E6E6" w:themeFill="background2"/>
          </w:tcPr>
          <w:p w14:paraId="22796A77">
            <w:pPr>
              <w:spacing w:after="0" w:line="24" w:lineRule="atLeast"/>
              <w:rPr>
                <w:rFonts w:hint="default" w:ascii="Goudy Old Style" w:hAnsi="Goudy Old Style"/>
                <w:b/>
                <w:bCs/>
                <w:i/>
                <w:color w:val="000000" w:themeColor="text1"/>
                <w:sz w:val="21"/>
                <w:szCs w:val="21"/>
                <w14:textFill>
                  <w14:solidFill>
                    <w14:schemeClr w14:val="tx1"/>
                  </w14:solidFill>
                </w14:textFill>
              </w:rPr>
            </w:pPr>
            <w:r>
              <w:rPr>
                <w:rFonts w:hint="default" w:ascii="Goudy Old Style" w:hAnsi="Goudy Old Style"/>
                <w:b/>
                <w:bCs/>
                <w:i/>
                <w:color w:val="000000" w:themeColor="text1"/>
                <w:sz w:val="21"/>
                <w:szCs w:val="21"/>
                <w14:textFill>
                  <w14:solidFill>
                    <w14:schemeClr w14:val="tx1"/>
                  </w14:solidFill>
                </w14:textFill>
              </w:rPr>
              <w:t>Keywords</w:t>
            </w:r>
          </w:p>
          <w:p w14:paraId="237C6434">
            <w:pPr>
              <w:spacing w:after="0" w:line="24" w:lineRule="atLeast"/>
              <w:jc w:val="both"/>
              <w:rPr>
                <w:rFonts w:ascii="Goudy Old Style" w:hAnsi="Goudy Old Style" w:cs="Times New Roman"/>
                <w:b w:val="0"/>
                <w:bCs w:val="0"/>
                <w:i/>
                <w:color w:val="000000" w:themeColor="text1"/>
                <w:sz w:val="21"/>
                <w:szCs w:val="21"/>
                <w14:textFill>
                  <w14:solidFill>
                    <w14:schemeClr w14:val="tx1"/>
                  </w14:solidFill>
                </w14:textFill>
              </w:rPr>
            </w:pPr>
            <w:r>
              <w:rPr>
                <w:rFonts w:hint="default" w:ascii="Goudy Old Style" w:hAnsi="Goudy Old Style"/>
                <w:b w:val="0"/>
                <w:bCs w:val="0"/>
                <w:i/>
                <w:color w:val="000000" w:themeColor="text1"/>
                <w:sz w:val="21"/>
                <w:szCs w:val="21"/>
                <w14:textFill>
                  <w14:solidFill>
                    <w14:schemeClr w14:val="tx1"/>
                  </w14:solidFill>
                </w14:textFill>
              </w:rPr>
              <w:t>Artificial Intelligence, Biological Systems, Biomathematics, Digital Era, Mathematical Modeling, Systems Biology</w:t>
            </w:r>
          </w:p>
          <w:p w14:paraId="625C25A9">
            <w:pPr>
              <w:spacing w:after="0" w:line="24" w:lineRule="atLeast"/>
              <w:rPr>
                <w:rFonts w:ascii="Goudy Old Style" w:hAnsi="Goudy Old Style" w:cs="Times New Roman"/>
                <w:b/>
                <w:bCs/>
                <w:color w:val="000000" w:themeColor="text1"/>
                <w:sz w:val="21"/>
                <w:szCs w:val="21"/>
                <w14:textFill>
                  <w14:solidFill>
                    <w14:schemeClr w14:val="tx1"/>
                  </w14:solidFill>
                </w14:textFill>
              </w:rPr>
            </w:pPr>
          </w:p>
          <w:p w14:paraId="1B6C2FFE">
            <w:pPr>
              <w:spacing w:after="0" w:line="24" w:lineRule="atLeast"/>
              <w:rPr>
                <w:rFonts w:ascii="Goudy Old Style" w:hAnsi="Goudy Old Style" w:cs="Times New Roman"/>
                <w:b/>
                <w:bCs/>
                <w:color w:val="000000" w:themeColor="text1"/>
                <w:sz w:val="21"/>
                <w:szCs w:val="21"/>
                <w14:textFill>
                  <w14:solidFill>
                    <w14:schemeClr w14:val="tx1"/>
                  </w14:solidFill>
                </w14:textFill>
              </w:rPr>
            </w:pPr>
            <w:r>
              <w:rPr>
                <w:rFonts w:ascii="Goudy Old Style" w:hAnsi="Goudy Old Style" w:cs="Times New Roman"/>
                <w:b/>
                <w:bCs/>
                <w:color w:val="000000" w:themeColor="text1"/>
                <w:sz w:val="21"/>
                <w:szCs w:val="21"/>
                <w14:textFill>
                  <w14:solidFill>
                    <w14:schemeClr w14:val="tx1"/>
                  </w14:solidFill>
                </w14:textFill>
              </w:rPr>
              <w:t xml:space="preserve">Article History </w:t>
            </w:r>
          </w:p>
          <w:p w14:paraId="1D6DADA6">
            <w:pPr>
              <w:spacing w:after="0" w:line="24" w:lineRule="atLeast"/>
              <w:rPr>
                <w:rFonts w:hint="default" w:ascii="Goudy Old Style" w:hAnsi="Goudy Old Style"/>
                <w:i/>
                <w:color w:val="000000" w:themeColor="text1"/>
                <w:sz w:val="21"/>
                <w:szCs w:val="21"/>
                <w:lang w:val="en-US"/>
                <w14:textFill>
                  <w14:solidFill>
                    <w14:schemeClr w14:val="tx1"/>
                  </w14:solidFill>
                </w14:textFill>
              </w:rPr>
            </w:pPr>
            <w:r>
              <w:rPr>
                <w:rFonts w:hint="default" w:ascii="Goudy Old Style" w:hAnsi="Goudy Old Style"/>
                <w:i/>
                <w:color w:val="000000" w:themeColor="text1"/>
                <w:sz w:val="21"/>
                <w:szCs w:val="21"/>
                <w14:textFill>
                  <w14:solidFill>
                    <w14:schemeClr w14:val="tx1"/>
                  </w14:solidFill>
                </w14:textFill>
              </w:rPr>
              <w:t>Received</w:t>
            </w:r>
            <w:r>
              <w:rPr>
                <w:rFonts w:hint="default" w:ascii="Goudy Old Style" w:hAnsi="Goudy Old Style"/>
                <w:i/>
                <w:color w:val="000000" w:themeColor="text1"/>
                <w:sz w:val="21"/>
                <w:szCs w:val="21"/>
                <w:lang w:val="en-US"/>
                <w14:textFill>
                  <w14:solidFill>
                    <w14:schemeClr w14:val="tx1"/>
                  </w14:solidFill>
                </w14:textFill>
              </w:rPr>
              <w:t xml:space="preserve"> on</w:t>
            </w:r>
            <w:r>
              <w:rPr>
                <w:rFonts w:hint="default" w:ascii="Goudy Old Style" w:hAnsi="Goudy Old Style"/>
                <w:i/>
                <w:color w:val="000000" w:themeColor="text1"/>
                <w:sz w:val="21"/>
                <w:szCs w:val="21"/>
                <w14:textFill>
                  <w14:solidFill>
                    <w14:schemeClr w14:val="tx1"/>
                  </w14:solidFill>
                </w14:textFill>
              </w:rPr>
              <w:t xml:space="preserve">:  </w:t>
            </w:r>
            <w:r>
              <w:rPr>
                <w:rFonts w:hint="default" w:ascii="Goudy Old Style" w:hAnsi="Goudy Old Style"/>
                <w:i/>
                <w:color w:val="000000" w:themeColor="text1"/>
                <w:sz w:val="21"/>
                <w:szCs w:val="21"/>
                <w:lang w:val="en-US"/>
                <w14:textFill>
                  <w14:solidFill>
                    <w14:schemeClr w14:val="tx1"/>
                  </w14:solidFill>
                </w14:textFill>
              </w:rPr>
              <w:t>1</w:t>
            </w:r>
            <w:r>
              <w:rPr>
                <w:rFonts w:hint="default" w:ascii="Goudy Old Style" w:hAnsi="Goudy Old Style"/>
                <w:i/>
                <w:color w:val="000000" w:themeColor="text1"/>
                <w:sz w:val="21"/>
                <w:szCs w:val="21"/>
                <w14:textFill>
                  <w14:solidFill>
                    <w14:schemeClr w14:val="tx1"/>
                  </w14:solidFill>
                </w14:textFill>
              </w:rPr>
              <w:t xml:space="preserve">4 </w:t>
            </w:r>
            <w:r>
              <w:rPr>
                <w:rFonts w:hint="default" w:ascii="Goudy Old Style" w:hAnsi="Goudy Old Style"/>
                <w:i/>
                <w:color w:val="000000" w:themeColor="text1"/>
                <w:sz w:val="21"/>
                <w:szCs w:val="21"/>
                <w:lang w:val="en-US"/>
                <w14:textFill>
                  <w14:solidFill>
                    <w14:schemeClr w14:val="tx1"/>
                  </w14:solidFill>
                </w14:textFill>
              </w:rPr>
              <w:t>Feb,</w:t>
            </w:r>
            <w:r>
              <w:rPr>
                <w:rFonts w:hint="default" w:ascii="Goudy Old Style" w:hAnsi="Goudy Old Style"/>
                <w:i/>
                <w:color w:val="000000" w:themeColor="text1"/>
                <w:sz w:val="21"/>
                <w:szCs w:val="21"/>
                <w14:textFill>
                  <w14:solidFill>
                    <w14:schemeClr w14:val="tx1"/>
                  </w14:solidFill>
                </w14:textFill>
              </w:rPr>
              <w:t xml:space="preserve"> 202</w:t>
            </w:r>
            <w:r>
              <w:rPr>
                <w:rFonts w:hint="default" w:ascii="Goudy Old Style" w:hAnsi="Goudy Old Style"/>
                <w:i/>
                <w:color w:val="000000" w:themeColor="text1"/>
                <w:sz w:val="21"/>
                <w:szCs w:val="21"/>
                <w:lang w:val="en-US"/>
                <w14:textFill>
                  <w14:solidFill>
                    <w14:schemeClr w14:val="tx1"/>
                  </w14:solidFill>
                </w14:textFill>
              </w:rPr>
              <w:t>6</w:t>
            </w:r>
          </w:p>
          <w:p w14:paraId="542CFB0C">
            <w:pPr>
              <w:spacing w:after="0" w:line="24" w:lineRule="atLeast"/>
              <w:rPr>
                <w:rFonts w:hint="default" w:ascii="Goudy Old Style" w:hAnsi="Goudy Old Style"/>
                <w:i/>
                <w:color w:val="000000" w:themeColor="text1"/>
                <w:sz w:val="21"/>
                <w:szCs w:val="21"/>
                <w14:textFill>
                  <w14:solidFill>
                    <w14:schemeClr w14:val="tx1"/>
                  </w14:solidFill>
                </w14:textFill>
              </w:rPr>
            </w:pPr>
            <w:r>
              <w:rPr>
                <w:rFonts w:hint="default" w:ascii="Goudy Old Style" w:hAnsi="Goudy Old Style"/>
                <w:i/>
                <w:color w:val="000000" w:themeColor="text1"/>
                <w:sz w:val="21"/>
                <w:szCs w:val="21"/>
                <w14:textFill>
                  <w14:solidFill>
                    <w14:schemeClr w14:val="tx1"/>
                  </w14:solidFill>
                </w14:textFill>
              </w:rPr>
              <w:t>Accepted</w:t>
            </w:r>
            <w:r>
              <w:rPr>
                <w:rFonts w:hint="default" w:ascii="Goudy Old Style" w:hAnsi="Goudy Old Style"/>
                <w:i/>
                <w:color w:val="000000" w:themeColor="text1"/>
                <w:sz w:val="21"/>
                <w:szCs w:val="21"/>
                <w:lang w:val="en-US"/>
                <w14:textFill>
                  <w14:solidFill>
                    <w14:schemeClr w14:val="tx1"/>
                  </w14:solidFill>
                </w14:textFill>
              </w:rPr>
              <w:t xml:space="preserve"> on</w:t>
            </w:r>
            <w:r>
              <w:rPr>
                <w:rFonts w:hint="default" w:ascii="Goudy Old Style" w:hAnsi="Goudy Old Style"/>
                <w:i/>
                <w:color w:val="000000" w:themeColor="text1"/>
                <w:sz w:val="21"/>
                <w:szCs w:val="21"/>
                <w14:textFill>
                  <w14:solidFill>
                    <w14:schemeClr w14:val="tx1"/>
                  </w14:solidFill>
                </w14:textFill>
              </w:rPr>
              <w:t xml:space="preserve">: </w:t>
            </w:r>
            <w:r>
              <w:rPr>
                <w:rFonts w:hint="default" w:ascii="Goudy Old Style" w:hAnsi="Goudy Old Style"/>
                <w:i/>
                <w:color w:val="000000" w:themeColor="text1"/>
                <w:sz w:val="21"/>
                <w:szCs w:val="21"/>
                <w:lang w:val="en-US"/>
                <w14:textFill>
                  <w14:solidFill>
                    <w14:schemeClr w14:val="tx1"/>
                  </w14:solidFill>
                </w14:textFill>
              </w:rPr>
              <w:t>24</w:t>
            </w:r>
            <w:r>
              <w:rPr>
                <w:rFonts w:hint="default" w:ascii="Goudy Old Style" w:hAnsi="Goudy Old Style"/>
                <w:i/>
                <w:color w:val="000000" w:themeColor="text1"/>
                <w:sz w:val="21"/>
                <w:szCs w:val="21"/>
                <w14:textFill>
                  <w14:solidFill>
                    <w14:schemeClr w14:val="tx1"/>
                  </w14:solidFill>
                </w14:textFill>
              </w:rPr>
              <w:t xml:space="preserve"> </w:t>
            </w:r>
            <w:r>
              <w:rPr>
                <w:rFonts w:hint="default" w:ascii="Goudy Old Style" w:hAnsi="Goudy Old Style"/>
                <w:i/>
                <w:color w:val="000000" w:themeColor="text1"/>
                <w:sz w:val="21"/>
                <w:szCs w:val="21"/>
                <w:lang w:val="en-US"/>
                <w14:textFill>
                  <w14:solidFill>
                    <w14:schemeClr w14:val="tx1"/>
                  </w14:solidFill>
                </w14:textFill>
              </w:rPr>
              <w:t>March,</w:t>
            </w:r>
            <w:r>
              <w:rPr>
                <w:rFonts w:hint="default" w:ascii="Goudy Old Style" w:hAnsi="Goudy Old Style"/>
                <w:i/>
                <w:color w:val="000000" w:themeColor="text1"/>
                <w:sz w:val="21"/>
                <w:szCs w:val="21"/>
                <w14:textFill>
                  <w14:solidFill>
                    <w14:schemeClr w14:val="tx1"/>
                  </w14:solidFill>
                </w14:textFill>
              </w:rPr>
              <w:t xml:space="preserve"> 2026</w:t>
            </w:r>
          </w:p>
          <w:p w14:paraId="6DAF39B8">
            <w:pPr>
              <w:spacing w:after="0" w:line="24" w:lineRule="atLeast"/>
              <w:rPr>
                <w:rFonts w:ascii="Goudy Old Style" w:hAnsi="Goudy Old Style" w:cs="Times New Roman"/>
                <w:b/>
                <w:bCs/>
                <w:i/>
                <w:color w:val="000000" w:themeColor="text1"/>
                <w:sz w:val="21"/>
                <w:szCs w:val="21"/>
                <w14:textFill>
                  <w14:solidFill>
                    <w14:schemeClr w14:val="tx1"/>
                  </w14:solidFill>
                </w14:textFill>
              </w:rPr>
            </w:pPr>
            <w:r>
              <w:rPr>
                <w:rFonts w:hint="default" w:ascii="Goudy Old Style" w:hAnsi="Goudy Old Style"/>
                <w:i/>
                <w:color w:val="000000" w:themeColor="text1"/>
                <w:sz w:val="21"/>
                <w:szCs w:val="21"/>
                <w14:textFill>
                  <w14:solidFill>
                    <w14:schemeClr w14:val="tx1"/>
                  </w14:solidFill>
                </w14:textFill>
              </w:rPr>
              <w:t>Published</w:t>
            </w:r>
            <w:r>
              <w:rPr>
                <w:rFonts w:hint="default" w:ascii="Goudy Old Style" w:hAnsi="Goudy Old Style"/>
                <w:i/>
                <w:color w:val="000000" w:themeColor="text1"/>
                <w:sz w:val="21"/>
                <w:szCs w:val="21"/>
                <w:lang w:val="en-US"/>
                <w14:textFill>
                  <w14:solidFill>
                    <w14:schemeClr w14:val="tx1"/>
                  </w14:solidFill>
                </w14:textFill>
              </w:rPr>
              <w:t xml:space="preserve"> on 27</w:t>
            </w:r>
            <w:r>
              <w:rPr>
                <w:rFonts w:hint="default" w:ascii="Goudy Old Style" w:hAnsi="Goudy Old Style"/>
                <w:i/>
                <w:color w:val="000000" w:themeColor="text1"/>
                <w:sz w:val="21"/>
                <w:szCs w:val="21"/>
                <w14:textFill>
                  <w14:solidFill>
                    <w14:schemeClr w14:val="tx1"/>
                  </w14:solidFill>
                </w14:textFill>
              </w:rPr>
              <w:t xml:space="preserve"> </w:t>
            </w:r>
            <w:r>
              <w:rPr>
                <w:rFonts w:hint="default" w:ascii="Goudy Old Style" w:hAnsi="Goudy Old Style"/>
                <w:i/>
                <w:color w:val="000000" w:themeColor="text1"/>
                <w:sz w:val="21"/>
                <w:szCs w:val="21"/>
                <w:lang w:val="en-US"/>
                <w14:textFill>
                  <w14:solidFill>
                    <w14:schemeClr w14:val="tx1"/>
                  </w14:solidFill>
                </w14:textFill>
              </w:rPr>
              <w:t>March,</w:t>
            </w:r>
            <w:r>
              <w:rPr>
                <w:rFonts w:hint="default" w:ascii="Goudy Old Style" w:hAnsi="Goudy Old Style"/>
                <w:i/>
                <w:color w:val="000000" w:themeColor="text1"/>
                <w:sz w:val="21"/>
                <w:szCs w:val="21"/>
                <w14:textFill>
                  <w14:solidFill>
                    <w14:schemeClr w14:val="tx1"/>
                  </w14:solidFill>
                </w14:textFill>
              </w:rPr>
              <w:t xml:space="preserve"> 2026</w:t>
            </w:r>
          </w:p>
        </w:tc>
        <w:tc>
          <w:tcPr>
            <w:tcW w:w="6837" w:type="dxa"/>
            <w:vMerge w:val="continue"/>
          </w:tcPr>
          <w:p w14:paraId="62D56DCE">
            <w:pPr>
              <w:spacing w:after="0" w:line="24" w:lineRule="atLeast"/>
              <w:rPr>
                <w:rFonts w:ascii="Goudy Old Style" w:hAnsi="Goudy Old Style" w:cs="Times New Roman"/>
                <w:b/>
                <w:bCs/>
                <w:i/>
                <w:iCs/>
                <w:color w:val="000000" w:themeColor="text1"/>
                <w:sz w:val="20"/>
                <w:szCs w:val="20"/>
                <w14:textFill>
                  <w14:solidFill>
                    <w14:schemeClr w14:val="tx1"/>
                  </w14:solidFill>
                </w14:textFill>
              </w:rPr>
            </w:pPr>
          </w:p>
        </w:tc>
      </w:tr>
      <w:tr w14:paraId="78AD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7" w:type="dxa"/>
            <w:shd w:val="clear" w:color="auto" w:fill="E7E6E6" w:themeFill="background2"/>
          </w:tcPr>
          <w:p w14:paraId="489C471F">
            <w:pPr>
              <w:spacing w:after="0" w:line="24" w:lineRule="atLeast"/>
              <w:rPr>
                <w:rFonts w:ascii="Goudy Old Style" w:hAnsi="Goudy Old Style" w:cs="Times New Roman"/>
                <w:b/>
                <w:bCs/>
                <w:i/>
                <w:color w:val="000000" w:themeColor="text1"/>
                <w:sz w:val="21"/>
                <w:szCs w:val="21"/>
                <w14:textFill>
                  <w14:solidFill>
                    <w14:schemeClr w14:val="tx1"/>
                  </w14:solidFill>
                </w14:textFill>
              </w:rPr>
            </w:pPr>
          </w:p>
        </w:tc>
        <w:tc>
          <w:tcPr>
            <w:tcW w:w="6837" w:type="dxa"/>
            <w:vMerge w:val="continue"/>
          </w:tcPr>
          <w:p w14:paraId="09EF781E">
            <w:pPr>
              <w:spacing w:after="0" w:line="24" w:lineRule="atLeast"/>
              <w:rPr>
                <w:rFonts w:ascii="Goudy Old Style" w:hAnsi="Goudy Old Style" w:cs="Times New Roman"/>
                <w:b/>
                <w:bCs/>
                <w:i/>
                <w:iCs/>
                <w:color w:val="000000" w:themeColor="text1"/>
                <w:sz w:val="20"/>
                <w:szCs w:val="20"/>
                <w14:textFill>
                  <w14:solidFill>
                    <w14:schemeClr w14:val="tx1"/>
                  </w14:solidFill>
                </w14:textFill>
              </w:rPr>
            </w:pPr>
          </w:p>
        </w:tc>
      </w:tr>
      <w:tr w14:paraId="49E67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67" w:type="dxa"/>
            <w:shd w:val="clear" w:color="auto" w:fill="E7E6E6" w:themeFill="background2"/>
          </w:tcPr>
          <w:p w14:paraId="65FA9D7E">
            <w:pPr>
              <w:spacing w:after="0" w:line="24" w:lineRule="atLeast"/>
              <w:rPr>
                <w:rFonts w:ascii="Goudy Old Style" w:hAnsi="Goudy Old Style" w:cs="Times New Roman"/>
                <w:color w:val="000000" w:themeColor="text1"/>
                <w:sz w:val="21"/>
                <w:szCs w:val="21"/>
                <w14:textFill>
                  <w14:solidFill>
                    <w14:schemeClr w14:val="tx1"/>
                  </w14:solidFill>
                </w14:textFill>
              </w:rPr>
            </w:pPr>
            <w:r>
              <w:rPr>
                <w:rFonts w:ascii="Goudy Old Style" w:hAnsi="Goudy Old Style" w:cs="Times New Roman"/>
                <w:b/>
                <w:bCs/>
                <w:color w:val="000000" w:themeColor="text1"/>
                <w:sz w:val="21"/>
                <w:szCs w:val="21"/>
                <w14:textFill>
                  <w14:solidFill>
                    <w14:schemeClr w14:val="tx1"/>
                  </w14:solidFill>
                </w14:textFill>
              </w:rPr>
              <w:t xml:space="preserve">Copyright </w:t>
            </w:r>
            <w:r>
              <w:rPr>
                <w:rFonts w:ascii="Goudy Old Style" w:hAnsi="Goudy Old Style" w:cs="Times New Roman"/>
                <w:color w:val="000000" w:themeColor="text1"/>
                <w:sz w:val="21"/>
                <w:szCs w:val="21"/>
                <w14:textFill>
                  <w14:solidFill>
                    <w14:schemeClr w14:val="tx1"/>
                  </w14:solidFill>
                </w14:textFill>
              </w:rPr>
              <w:t>@Author</w:t>
            </w:r>
          </w:p>
          <w:p w14:paraId="0859275B">
            <w:pPr>
              <w:spacing w:after="0" w:line="24" w:lineRule="atLeast"/>
              <w:rPr>
                <w:rFonts w:ascii="Goudy Old Style" w:hAnsi="Goudy Old Style" w:cstheme="majorBidi"/>
                <w:b/>
                <w:iCs/>
                <w:color w:val="000000" w:themeColor="text1"/>
                <w:sz w:val="21"/>
                <w:szCs w:val="21"/>
                <w14:textFill>
                  <w14:solidFill>
                    <w14:schemeClr w14:val="tx1"/>
                  </w14:solidFill>
                </w14:textFill>
              </w:rPr>
            </w:pPr>
            <w:r>
              <w:rPr>
                <w:rFonts w:ascii="Goudy Old Style" w:hAnsi="Goudy Old Style" w:cstheme="majorBidi"/>
                <w:b/>
                <w:iCs/>
                <w:color w:val="000000" w:themeColor="text1"/>
                <w:sz w:val="21"/>
                <w:szCs w:val="21"/>
                <w14:textFill>
                  <w14:solidFill>
                    <w14:schemeClr w14:val="tx1"/>
                  </w14:solidFill>
                </w14:textFill>
              </w:rPr>
              <w:t>Corresponding Author:</w:t>
            </w:r>
          </w:p>
        </w:tc>
        <w:tc>
          <w:tcPr>
            <w:tcW w:w="6837" w:type="dxa"/>
            <w:vMerge w:val="continue"/>
          </w:tcPr>
          <w:p w14:paraId="3229FBD1">
            <w:pPr>
              <w:spacing w:after="0" w:line="24" w:lineRule="atLeast"/>
              <w:rPr>
                <w:rFonts w:ascii="Goudy Old Style" w:hAnsi="Goudy Old Style" w:cs="Times New Roman"/>
                <w:b/>
                <w:bCs/>
                <w:color w:val="000000" w:themeColor="text1"/>
                <w:sz w:val="20"/>
                <w:szCs w:val="20"/>
                <w14:textFill>
                  <w14:solidFill>
                    <w14:schemeClr w14:val="tx1"/>
                  </w14:solidFill>
                </w14:textFill>
              </w:rPr>
            </w:pPr>
          </w:p>
        </w:tc>
      </w:tr>
    </w:tbl>
    <w:p w14:paraId="2A2B0062">
      <w:pPr>
        <w:rPr>
          <w:rFonts w:hint="default" w:ascii="Goudy Old Style" w:hAnsi="Goudy Old Style" w:cs="Goudy Old Style"/>
          <w:b/>
          <w:sz w:val="22"/>
          <w:szCs w:val="22"/>
          <w:lang w:val="en-US"/>
        </w:rPr>
      </w:pPr>
      <w:r>
        <w:rPr>
          <w:rFonts w:hint="default" w:ascii="Goudy Old Style" w:hAnsi="Goudy Old Style" w:cs="Goudy Old Style"/>
          <w:b/>
          <w:sz w:val="22"/>
          <w:szCs w:val="22"/>
          <w:lang w:val="en-US"/>
        </w:rPr>
        <w:br w:type="page"/>
      </w:r>
    </w:p>
    <w:p w14:paraId="57B3D772">
      <w:pPr>
        <w:pStyle w:val="43"/>
        <w:keepLines w:val="0"/>
        <w:pageBreakBefore w:val="0"/>
        <w:numPr>
          <w:ilvl w:val="0"/>
          <w:numId w:val="1"/>
        </w:numPr>
        <w:kinsoku/>
        <w:wordWrap/>
        <w:overflowPunct/>
        <w:topLinePunct w:val="0"/>
        <w:bidi w:val="0"/>
        <w:snapToGrid/>
        <w:spacing w:beforeAutospacing="0" w:after="0" w:afterAutospacing="0" w:line="24" w:lineRule="atLeast"/>
        <w:ind w:left="0" w:firstLine="0"/>
        <w:jc w:val="both"/>
        <w:textAlignment w:val="auto"/>
        <w:rPr>
          <w:rFonts w:hint="default" w:ascii="Goudy Old Style" w:hAnsi="Goudy Old Style" w:cs="Goudy Old Style"/>
          <w:b/>
          <w:sz w:val="22"/>
          <w:szCs w:val="22"/>
          <w:lang w:val="en-US"/>
        </w:rPr>
        <w:sectPr>
          <w:headerReference r:id="rId5" w:type="default"/>
          <w:footerReference r:id="rId6" w:type="default"/>
          <w:type w:val="continuous"/>
          <w:pgSz w:w="11906" w:h="16838"/>
          <w:pgMar w:top="1282" w:right="1440" w:bottom="1282" w:left="1440" w:header="708" w:footer="708" w:gutter="0"/>
          <w:pgNumType w:fmt="decimal" w:start="3707"/>
          <w:cols w:space="708" w:num="1"/>
          <w:docGrid w:linePitch="360" w:charSpace="0"/>
        </w:sectPr>
      </w:pPr>
    </w:p>
    <w:p w14:paraId="24CCA7C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b/>
          <w:bCs/>
          <w:sz w:val="22"/>
          <w:szCs w:val="22"/>
          <w:lang w:eastAsia="zh-CN" w:bidi="ar"/>
        </w:rPr>
        <w:t>Introduction</w:t>
      </w:r>
    </w:p>
    <w:p w14:paraId="5A4CE44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Biological systems are among the most complex systems in nature. Biological phenomena are an immense web of variables interacting continuously, from the interactions of genes and proteins to the propagation of infectious diseases and the interactions among various life forms in an ecosystem. In many cases, by just looking at the processes, it will be difficult to understand them because not everything biological can be measured directly or tested under all conditions in experiments. Consequently, the use of mathematical equations and computational models to represent biological systems (biomathematics) is becoming increasingly common. These models enable simplifying complex biological processes, testing scientific hypotheses, predicting, and even decision-making in medicine, agriculture, the environment, and biotechnology (Liu, 2024; Puniya et al., 2024).</w:t>
      </w:r>
    </w:p>
    <w:p w14:paraId="52DDEB4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The wealth and number of biological data have, moreover, underscored the necessity of mathematical modelling. A vast amount of data is collected daily using modern technologies like genome sequencing, health imaging, and wearable health gadgets, to name just a handful, alongside powerful lab methods that process large amounts of data in controlled environments. These data offer an excellent prospect for scientists to gain knowledge from the data, but it also poses huge challenges in making analyses of the data. The use of artificial intelligence (AI), specifically machine learning and deep learning, provides powerful capabilities to discover patterns in large amounts of data, see hitherto undetected relationships, and make accurate predictions based on them. In addition, AI and biomathematics have the potential to improve the efficiency and accuracy of biological modelling, enabling the solution it problems that were previously challenging or impossible with conventional biomathematical methods alone. (Noordijk et al., 2024; Peirce-Cottler, 2024).</w:t>
      </w:r>
    </w:p>
    <w:p w14:paraId="2697F62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In the digital age, computational technologies continue to transform the science of biology, and the use of biomathematics and artificial intelligence is becoming increasingly critical. A wide range of hybrid approaches now exists, combining mathematical ideas with AI algorithms for disease diagnosis, drug discovery, precision medicine, ecological forecasting, and systems biology. The new techniques can aid in developing more accurate predictive models and provide insights into the functioning mechanisms of biological systems. As science moves toward a data-driven research paradigm, the mathematical and artificial intelligence (AI) fields are expected to play vital roles in developing new solutions to complex biological problems and improving the quality of scientific decision-making (Topol, 2024; Stephan et al.,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Background of the Study</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Linking Mathematics and Biology has become of unprecedented importance over the last few decades, in view of the advances in digital technology. Some of the primary tools now used in biological studies include laboratory experiments and statistics to study natural phenomena. These methods are basic but inherently static and isolated, lacking dynamism and complexity within the biological units they describe. These interactions can be systematically organized, and biological processes can be translated into mathematical equations (models) that can then be analyzed, simulated, and optimized. These models evolved into increasingly complex systems and were applied to a variety of problem domains, including epidemiology, genetics, neuroscience, environmental sustainability, and population dynamics (Liu, 2024; Zhao,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AI has revolutionized the handling and understanding of biological data. The fact-set analysis of AI algorithms is exceptional compared to rule-based computation techniques. These algorithms have the unique capability to learn from the past, adapt to new facts as they arrive, and quickly process extremely complex fact sets. This is particularly beneficial for fields of data like biology, which encompasses everything from weather monitoring and X-rays to medicine and clinical data to genomes. AI can integrate with biomathematical models to create more robust, more accurate disease predictions, streamline treatment, and understand biological mechanisms at multiple levels of organization (Peirce-Cottler, 2024; Noord et al.,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A good model of a biological system should be highly dynamic and nonlinear, and be capable of describing a system with uncertainties. In the sciences, it is never easy to devise such error-free models. In addition, there are challenges regarding the transparency of the models, the veracity of the data, computational resources, and ethical issues related to the utilization of biological information. All these hurdles highlight the need to fuse interpretable mathematical theories and Artificial Intelligence to learn from them. This study aims to delve into the synergies between biomathematics and AI in modelling intricate biological systems and to witness the significant role it plays in driving scientific advancement, healthcare innovation, and sustainable development in the digital age (Topol, 2024; Stephan et al., 2024).</w:t>
      </w:r>
    </w:p>
    <w:p w14:paraId="2ECC386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b/>
          <w:bCs/>
          <w:sz w:val="22"/>
          <w:szCs w:val="22"/>
          <w:lang w:eastAsia="zh-CN" w:bidi="ar"/>
        </w:rPr>
        <w:t>Research Problem</w:t>
      </w:r>
    </w:p>
    <w:p w14:paraId="11AFEFE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The combination of biological information and the digital world has enabled scientific discovery in new ways. It has also made it difficult to apply the usual analytical framework to understand biological systems better. While humans may explain biological processes through mathematics and cope with large, complex data with powerful tools leveraged by artificial intelligence, these tools can be used individually, limiting their effectiveness. Many models are false and limited, are not dynamic or nonlinear, are not multi-level, and are not accurate, transparent, or interpretable in a realistic sense. This difference becomes apparent when a more integrated thought process is required that combines the best attributes of biomathematics with those of artificial intelligence. This study aims to investigate how these two areas can form a synergy that enables complex biological systems to become part of the Digital Age and be modelled, analyzed, and predicted with increasing reliability and usefulness, thus enabling scientific studies to be more reliable.</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Research Objectives</w:t>
      </w:r>
      <w:r>
        <w:rPr>
          <w:rFonts w:hint="default" w:ascii="Goudy Old Style" w:hAnsi="Goudy Old Style" w:eastAsia="SimSun" w:cs="Goudy Old Style"/>
          <w:b/>
          <w:bCs/>
          <w:sz w:val="22"/>
          <w:szCs w:val="22"/>
          <w:lang w:eastAsia="zh-CN" w:bidi="ar"/>
        </w:rPr>
        <w:br w:type="textWrapping"/>
      </w:r>
      <w:r>
        <w:rPr>
          <w:rFonts w:hint="default" w:ascii="Goudy Old Style" w:hAnsi="Goudy Old Style" w:eastAsia="SimSun" w:cs="Goudy Old Style"/>
          <w:sz w:val="22"/>
          <w:szCs w:val="22"/>
          <w:lang w:eastAsia="zh-CN" w:bidi="ar"/>
        </w:rPr>
        <w:t>1. Learn about the modelling of complex biological processes with biomathematics.</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2. Understand how Artificial Intelligence helps predict, classify, estimate parameters, and recognize patterns in biological data.</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3. Explore ways to improve hybrid mathematical and AI models of complex biological systems.</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4. Understand data quality, interpretability, model validation, and ethical aspects related to the use of Artificial Intelligence in modelling biological fields.</w:t>
      </w:r>
    </w:p>
    <w:p w14:paraId="25937DD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b/>
          <w:bCs/>
          <w:sz w:val="22"/>
          <w:szCs w:val="22"/>
          <w:lang w:eastAsia="zh-CN" w:bidi="ar"/>
        </w:rPr>
      </w:pPr>
      <w:r>
        <w:rPr>
          <w:rFonts w:hint="default" w:ascii="Goudy Old Style" w:hAnsi="Goudy Old Style" w:eastAsia="SimSun" w:cs="Goudy Old Style"/>
          <w:b/>
          <w:bCs/>
          <w:sz w:val="22"/>
          <w:szCs w:val="22"/>
          <w:lang w:eastAsia="zh-CN" w:bidi="ar"/>
        </w:rPr>
        <w:t>Research Questions</w:t>
      </w:r>
    </w:p>
    <w:p w14:paraId="26502DF3">
      <w:pPr>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What was the role of biomathematics in the digital age of modelling complex biological systems?</w:t>
      </w:r>
    </w:p>
    <w:p w14:paraId="6CFF92A0">
      <w:pPr>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How did AI enhance the analysis and prediction of biological processes?</w:t>
      </w:r>
    </w:p>
    <w:p w14:paraId="23A8EBAE">
      <w:pPr>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What were the ways in which mathematical models and AI were used in hybrid biological modeling?</w:t>
      </w:r>
    </w:p>
    <w:p w14:paraId="226626E3">
      <w:pPr>
        <w:keepNext w:val="0"/>
        <w:keepLines w:val="0"/>
        <w:pageBreakBefore w:val="0"/>
        <w:widowControl/>
        <w:numPr>
          <w:ilvl w:val="0"/>
          <w:numId w:val="2"/>
        </w:numPr>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What were the obstacles to accurate, interpretable and reliable mathematical-AI models of biological systems?</w:t>
      </w:r>
    </w:p>
    <w:p w14:paraId="43EEA08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b/>
          <w:bCs/>
          <w:sz w:val="22"/>
          <w:szCs w:val="22"/>
          <w:lang w:eastAsia="zh-CN" w:bidi="ar"/>
        </w:rPr>
      </w:pPr>
      <w:r>
        <w:rPr>
          <w:rFonts w:hint="default" w:ascii="Goudy Old Style" w:hAnsi="Goudy Old Style" w:eastAsia="SimSun" w:cs="Goudy Old Style"/>
          <w:b/>
          <w:bCs/>
          <w:sz w:val="22"/>
          <w:szCs w:val="22"/>
          <w:lang w:eastAsia="zh-CN" w:bidi="ar"/>
        </w:rPr>
        <w:t>Significance of the Study</w:t>
      </w:r>
    </w:p>
    <w:p w14:paraId="3491B25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The study has the potential to significantly advance understanding of complex biological phenomena by integrating mathematical modelling and artificial intelligence. The results can be used to provide students, researchers, and health care practitioners with an example of how to integrate equations, algorithms, simulations, and biological data to analyze life processes. The digital age has paved the way for biological research to increasingly rely on a combination of lab experimentation and computational analysis. Hybrid approaches are particularly beneficial as they enable prediction and explanation, both of which are crucial for sound scientific insights.</w:t>
      </w:r>
    </w:p>
    <w:p w14:paraId="54727B4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b/>
          <w:bCs/>
          <w:sz w:val="22"/>
          <w:szCs w:val="22"/>
          <w:lang w:eastAsia="zh-CN" w:bidi="ar"/>
        </w:rPr>
        <w:t>Literature Review</w:t>
      </w:r>
    </w:p>
    <w:p w14:paraId="46F0594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eastAsia="SimSun" w:cs="Goudy Old Style"/>
          <w:b/>
          <w:bCs/>
          <w:sz w:val="22"/>
          <w:szCs w:val="22"/>
          <w:lang w:eastAsia="zh-CN" w:bidi="ar"/>
        </w:rPr>
        <w:t>Biomathematics and Biological System Modelling</w:t>
      </w:r>
    </w:p>
    <w:p w14:paraId="0D9E477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Understanding biological processes through mathematical models is an important field known as biomathematics. Researchers use mathematical equations to describe the growth of cells, the size of populations, the spread of disease, and the interactions within biological networks. These models can simplify complex biological systems, helping scientists make predictions beyond the laboratory. Biomathematical modeling tools have come into their own for elucidating biological phenomena and are increasingly effective in biomedical, ecological, and biotechnological decision-making (Liu, 2024; Puniya et al.,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Some studies show that mathematical modelling is becoming increasingly successful, driven by the emergence of new computational techniques. The novel models are ideally suited for handling large volumes of data and for describing biological context from genes to ecosystems. But in biology, they say, "difficult things are the rule: there are nonlinear dynamics, and there is continuous adaptation. This has led to an increasing application of more flexible mathematical models that can capture biological phenomena more accurately (Noordijk et al.,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Biomathematics also has applications in decision-making for environmental and health care systems. With a mathematical model, one can compare scenarios, estimate treatment effects, and determine how diseases will spread as conditions vary. They also save time and money by allowing scientists to replicate multiple lab experiments and test hypotheses using computer simulations. As computing technologies continue to develop, biomathematical modelling will gain further ground and be used more extensively for innovation and biological research, providing new insights into several areas of biology.</w:t>
      </w:r>
    </w:p>
    <w:p w14:paraId="0C27B8E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eastAsia="SimSun" w:cs="Goudy Old Style"/>
          <w:b/>
          <w:bCs/>
          <w:sz w:val="22"/>
          <w:szCs w:val="22"/>
          <w:lang w:eastAsia="zh-CN" w:bidi="ar"/>
        </w:rPr>
        <w:t>Artificial Intelligence in Biological Research</w:t>
      </w:r>
    </w:p>
    <w:p w14:paraId="6AED639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With the acceleration of AI, the treatment and understanding of biological data have also been transformed. In contrast to traditional analytical methods, machine learning and deep learning techniques can analyze vast quantities of biological data quickly. The technologies are used to uncover hidden relationships within sets of genes, medical images, protein structures and medical records of diseases. Consequently, AI has a significant impact on disease diagnosis, drug discovery, precision medicine, and biomedical research (Topol 2024; Esteva et al., 2024).</w:t>
      </w:r>
    </w:p>
    <w:p w14:paraId="301354E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Although AAI has high predictive accuracy, several studies note that it should not be used alone. While some AI models generate correct predictions, they offer little explanation of how they arrive at them. Lack of transparency can lead to diminished trust in scientific and clinical uses. To enhance the prediction and interpretation, researchers are now proposing a hybrid between AI and knowledge-based solutions (Noordijk et al., 2024; Jiang et al., 2024).</w:t>
      </w:r>
    </w:p>
    <w:p w14:paraId="70AC034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AI is increasingly useful when combined with biological knowledge rather than just data, as recent studies show. Explainable AI techniques are being developed to facilitate easier understanding and interpretation of model predictions. In healthcare, for instance, physicians and researchers must understand how and why AI makes the recommendations it does before seamlessly integrating them into their working practices. Therefore, explainable and trustworthy AI in computational biology has become a significant research field (Topol, 2024; Noordijk et al., 2024).</w:t>
      </w:r>
    </w:p>
    <w:p w14:paraId="12073FF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eastAsia="SimSun" w:cs="Goudy Old Style"/>
          <w:b/>
          <w:bCs/>
          <w:sz w:val="22"/>
          <w:szCs w:val="22"/>
          <w:lang w:eastAsia="zh-CN" w:bidi="ar"/>
        </w:rPr>
        <w:t>Biomathematics and Artificial Intelligence for Biomedical Applications</w:t>
      </w:r>
    </w:p>
    <w:p w14:paraId="3B2ED4E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As biomathematics and AI seem to complement each other, they are receiving attention. Mathematical models contribute expertise to understanding biological mechanisms, while AI enhances data analysis and prediction. They share the ability to create more accurate models useful for researching complex biological systems. These hybrid methods have been successfully applied across various fields, including cancer research, prediction of infectious disease outbreaks, personalized medicine, and environmental monitoring (Peirce-Cottler, 2024; Stephan et al., 2024).</w:t>
      </w:r>
    </w:p>
    <w:p w14:paraId="0EAA95C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Researchers show that there is still work to be done to achieve models that are both accurate, interpretable, and applicable across various biological domains. These include issues of data quality, model soundness, model scalability, and ethical use of biological data. The development of a strong collaboration between biomathematics and AI to create powerful computational models that aid in scientific innovation and the resolution of real-world biological challenges is a direction that will be pursued in the future (Zhao, 2024; Topol, 2024).</w:t>
      </w:r>
    </w:p>
    <w:p w14:paraId="4140064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The accessibility of digital technologies and the adoption of biomathematics and AI have accelerated across several facets of biological fields. Hybrid models are now being employed in the study of genomic information, disease outbreaks, drug development and ecosystem changes. Unlike traditional models that rely on computational resources and complex algorithms, these models harness mathematical knowledge and intelligent algorithms to make more accurate predictions quickly. It seems that biological data will become increasingly important in the future, as data volumes grow (Peirce-Cottler, 2024; Stephan et al.,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Research Methodology</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Research Design</w:t>
      </w:r>
      <w:r>
        <w:rPr>
          <w:rFonts w:hint="default" w:ascii="Goudy Old Style" w:hAnsi="Goudy Old Style" w:eastAsia="SimSun" w:cs="Goudy Old Style"/>
          <w:b/>
          <w:bCs/>
          <w:sz w:val="22"/>
          <w:szCs w:val="22"/>
          <w:lang w:eastAsia="zh-CN" w:bidi="ar"/>
        </w:rPr>
        <w:br w:type="textWrapping"/>
      </w:r>
      <w:r>
        <w:rPr>
          <w:rFonts w:hint="default" w:ascii="Goudy Old Style" w:hAnsi="Goudy Old Style" w:eastAsia="SimSun" w:cs="Goudy Old Style"/>
          <w:sz w:val="22"/>
          <w:szCs w:val="22"/>
          <w:lang w:eastAsia="zh-CN" w:bidi="ar"/>
        </w:rPr>
        <w:t>The study is descriptive, quantitative, and focuses on the application of biomathematics and artificial intelligence to model complex biological systems in the digital world. The design was chosen to gather both qualitative and quantitative insights into their views, knowledge, perceptions, and understanding of mathematical models, AI tools, and digital biological data in school. The researcher intended to describe the situation as systematically as possible using a descriptive approach, without changing any variables.</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Population of the Study</w:t>
      </w:r>
      <w:r>
        <w:rPr>
          <w:rFonts w:hint="default" w:ascii="Goudy Old Style" w:hAnsi="Goudy Old Style" w:eastAsia="SimSun" w:cs="Goudy Old Style"/>
          <w:b/>
          <w:bCs/>
          <w:sz w:val="22"/>
          <w:szCs w:val="22"/>
          <w:lang w:eastAsia="zh-CN" w:bidi="ar"/>
        </w:rPr>
        <w:br w:type="textWrapping"/>
      </w:r>
      <w:r>
        <w:rPr>
          <w:rFonts w:hint="default" w:ascii="Goudy Old Style" w:hAnsi="Goudy Old Style" w:eastAsia="SimSun" w:cs="Goudy Old Style"/>
          <w:sz w:val="22"/>
          <w:szCs w:val="22"/>
          <w:lang w:eastAsia="zh-CN" w:bidi="ar"/>
        </w:rPr>
        <w:t>The study population consisted of University students, research scholars, and sudden job holders, including professors, 4B-BIO, bioinformatics, Mathematics/Cs, and Artificial Intelligence. This was chosen because they both have direct or indirect involvement in biological research, mathematical modelling, data analysis, and digital technology. They had valuable academic and research experience, leading them to have a keen interest in the role of biomathematics and artificial intelligence in the Digital era.</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Sample Size</w:t>
      </w:r>
      <w:r>
        <w:rPr>
          <w:rFonts w:hint="default" w:ascii="Goudy Old Style" w:hAnsi="Goudy Old Style" w:eastAsia="SimSun" w:cs="Goudy Old Style"/>
          <w:b/>
          <w:bCs/>
          <w:sz w:val="22"/>
          <w:szCs w:val="22"/>
          <w:lang w:eastAsia="zh-CN" w:bidi="ar"/>
        </w:rPr>
        <w:br w:type="textWrapping"/>
      </w:r>
      <w:r>
        <w:rPr>
          <w:rFonts w:hint="default" w:ascii="Goudy Old Style" w:hAnsi="Goudy Old Style" w:eastAsia="SimSun" w:cs="Goudy Old Style"/>
          <w:sz w:val="22"/>
          <w:szCs w:val="22"/>
          <w:lang w:eastAsia="zh-CN" w:bidi="ar"/>
        </w:rPr>
        <w:t>150 items were sought from the target group and were sampled. The participants included faculty from the fields of Biology, Biotechnology, Bioinformatics, Mathematics, Computer Science, and Health, undergraduate and postgraduate students, and research scholars. The number of respondents was N (150) in the study, which yielded an adequate sample size, and the perceptions and understanding about biomathematics and artificial intelligence were analyzed.</w:t>
      </w:r>
    </w:p>
    <w:p w14:paraId="503D7A4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b/>
          <w:bCs/>
          <w:sz w:val="22"/>
          <w:szCs w:val="22"/>
          <w:lang w:eastAsia="zh-CN" w:bidi="ar"/>
        </w:rPr>
        <w:t>Sampling Technique</w:t>
      </w:r>
    </w:p>
    <w:p w14:paraId="6187ECB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Purposive sampling was used in the study, with selection based on subjects' academic qualifications and research interests relevant to the topic. The researcher selected the participants based on the facts and information that they possessed about biology, mathematical modelling, artificial intelligence, bioinformatics or health care technology. Using this method enabled the subjects to respond to the questions examined in the research, which was valuable and relevant.</w:t>
      </w:r>
    </w:p>
    <w:p w14:paraId="3692531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b/>
          <w:bCs/>
          <w:sz w:val="22"/>
          <w:szCs w:val="22"/>
          <w:lang w:eastAsia="zh-CN" w:bidi="ar"/>
        </w:rPr>
        <w:t>Data Collection Method</w:t>
      </w:r>
    </w:p>
    <w:p w14:paraId="268BB02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Data was mainly collected through a questionnaire, for which responses were obtained. The questionnaire was formulated to align with the study's aim and research questions. This involved concepts such as mathematical modelling, AI, biological data analysis, digitization, complex biological systems, model accuracy, model interpretability, and research challenges. The questionnaire was used to systematically and consistently obtain information from all respondents.</w:t>
      </w:r>
    </w:p>
    <w:p w14:paraId="57F133C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b/>
          <w:bCs/>
          <w:sz w:val="22"/>
          <w:szCs w:val="22"/>
          <w:lang w:eastAsia="zh-CN" w:bidi="ar"/>
        </w:rPr>
        <w:t>Research Instrument</w:t>
      </w:r>
    </w:p>
    <w:p w14:paraId="5B5C96A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The researcher-developed questionnaire was the main research instrument in this study. It was in several parts. The first section gathered demographic data, including field of study, academic level and research experience. The second part dealt with biomathematics in the biological context. The third section was focused on artificial intelligence and digital data in biology.</w:t>
      </w:r>
    </w:p>
    <w:p w14:paraId="0A0BC54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b/>
          <w:bCs/>
          <w:sz w:val="22"/>
          <w:szCs w:val="22"/>
          <w:lang w:eastAsia="zh-CN" w:bidi="ar"/>
        </w:rPr>
        <w:t>Data Collection Procedure</w:t>
      </w:r>
    </w:p>
    <w:p w14:paraId="009C1B6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pPr>
      <w:r>
        <w:rPr>
          <w:rFonts w:hint="default" w:ascii="Goudy Old Style" w:hAnsi="Goudy Old Style" w:eastAsia="SimSun" w:cs="Goudy Old Style"/>
          <w:sz w:val="22"/>
          <w:szCs w:val="22"/>
          <w:lang w:eastAsia="zh-CN" w:bidi="ar"/>
        </w:rPr>
        <w:t>Data were collected systematically using a questionnaire appropriate to the research objectives. Feedback from the experts was used to revise and enhance the questionnaire. The researcher intended to contact the Potential respondents and provide them with the Questions to be answered. All participants were informed of the study's aim before completing the questionnaire.</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Data Analysis Method</w:t>
      </w:r>
      <w:r>
        <w:rPr>
          <w:rFonts w:hint="default" w:ascii="Goudy Old Style" w:hAnsi="Goudy Old Style" w:eastAsia="SimSun" w:cs="Goudy Old Style"/>
          <w:b/>
          <w:bCs/>
          <w:sz w:val="22"/>
          <w:szCs w:val="22"/>
          <w:lang w:eastAsia="zh-CN" w:bidi="ar"/>
        </w:rPr>
        <w:br w:type="textWrapping"/>
      </w:r>
      <w:r>
        <w:rPr>
          <w:rFonts w:hint="default" w:ascii="Goudy Old Style" w:hAnsi="Goudy Old Style" w:eastAsia="SimSun" w:cs="Goudy Old Style"/>
          <w:sz w:val="22"/>
          <w:szCs w:val="22"/>
          <w:lang w:eastAsia="zh-CN" w:bidi="ar"/>
        </w:rPr>
        <w:t>Descriptive Statistics were used to analyze the collected data. The demographic data were tabulated as frequencies and percentages. Responses to questions on mathematical modeling, artificial intelligence, biological systems, and digital technologies were analyzed using the mean and standard deviation. The results of these statistical techniques were easily interpretable.</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Results and Analysis</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 xml:space="preserve">Demographic profile of respondents </w:t>
      </w:r>
    </w:p>
    <w:p w14:paraId="7FD2D88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The demographic characteristics of the respondents were described in this analysis. Demographic information was provided for an understanding and awareness to be formed about the academic level, field of study and research background of the participants.</w:t>
      </w:r>
    </w:p>
    <w:p w14:paraId="0511555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56C9F57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i/>
          <w:iCs/>
          <w:sz w:val="22"/>
          <w:szCs w:val="22"/>
        </w:rPr>
      </w:pPr>
      <w:r>
        <w:rPr>
          <w:rFonts w:hint="default" w:ascii="Goudy Old Style" w:hAnsi="Goudy Old Style" w:cs="Goudy Old Style"/>
          <w:b/>
          <w:bCs/>
          <w:sz w:val="22"/>
          <w:szCs w:val="22"/>
        </w:rPr>
        <w:t>Table 1</w:t>
      </w:r>
      <w:r>
        <w:rPr>
          <w:rFonts w:hint="default" w:ascii="Goudy Old Style" w:hAnsi="Goudy Old Style" w:cs="Goudy Old Style"/>
          <w:b/>
          <w:bCs/>
          <w:sz w:val="22"/>
          <w:szCs w:val="22"/>
          <w:lang w:val="en-US"/>
        </w:rPr>
        <w:t>:</w:t>
      </w:r>
      <w:r>
        <w:rPr>
          <w:rFonts w:hint="default" w:ascii="Goudy Old Style" w:hAnsi="Goudy Old Style" w:cs="Goudy Old Style"/>
          <w:b/>
          <w:bCs/>
          <w:sz w:val="22"/>
          <w:szCs w:val="22"/>
          <w:lang w:val="en-US"/>
        </w:rPr>
        <w:tab/>
      </w:r>
      <w:r>
        <w:rPr>
          <w:rFonts w:hint="default" w:ascii="Goudy Old Style" w:hAnsi="Goudy Old Style" w:cs="Goudy Old Style"/>
          <w:b/>
          <w:bCs/>
          <w:i/>
          <w:iCs/>
          <w:sz w:val="22"/>
          <w:szCs w:val="22"/>
        </w:rPr>
        <w:t>Demographic Profile of Respondents</w:t>
      </w:r>
    </w:p>
    <w:tbl>
      <w:tblPr>
        <w:tblStyle w:val="12"/>
        <w:tblW w:w="4998" w:type="pct"/>
        <w:tblCellSpacing w:w="15" w:type="dxa"/>
        <w:tblInd w:w="0" w:type="dxa"/>
        <w:tblLayout w:type="autofit"/>
        <w:tblCellMar>
          <w:top w:w="15" w:type="dxa"/>
          <w:left w:w="15" w:type="dxa"/>
          <w:bottom w:w="15" w:type="dxa"/>
          <w:right w:w="15" w:type="dxa"/>
        </w:tblCellMar>
      </w:tblPr>
      <w:tblGrid>
        <w:gridCol w:w="2819"/>
        <w:gridCol w:w="3876"/>
        <w:gridCol w:w="1338"/>
        <w:gridCol w:w="1413"/>
      </w:tblGrid>
      <w:tr w14:paraId="2E0C99F8">
        <w:tblPrEx>
          <w:tblCellMar>
            <w:top w:w="15" w:type="dxa"/>
            <w:left w:w="15" w:type="dxa"/>
            <w:bottom w:w="15" w:type="dxa"/>
            <w:right w:w="15" w:type="dxa"/>
          </w:tblCellMar>
        </w:tblPrEx>
        <w:trPr>
          <w:tblHeader/>
          <w:tblCellSpacing w:w="15" w:type="dxa"/>
        </w:trPr>
        <w:tc>
          <w:tcPr>
            <w:tcW w:w="1468" w:type="pct"/>
            <w:tcBorders>
              <w:top w:val="single" w:color="auto" w:sz="4" w:space="0"/>
              <w:bottom w:val="single" w:color="auto" w:sz="4" w:space="0"/>
            </w:tcBorders>
            <w:vAlign w:val="center"/>
          </w:tcPr>
          <w:p w14:paraId="1CDB62D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Demographic Variable</w:t>
            </w:r>
          </w:p>
        </w:tc>
        <w:tc>
          <w:tcPr>
            <w:tcW w:w="2035" w:type="pct"/>
            <w:tcBorders>
              <w:top w:val="single" w:color="auto" w:sz="4" w:space="0"/>
              <w:bottom w:val="single" w:color="auto" w:sz="4" w:space="0"/>
            </w:tcBorders>
            <w:vAlign w:val="center"/>
          </w:tcPr>
          <w:p w14:paraId="276BFFA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Category</w:t>
            </w:r>
          </w:p>
        </w:tc>
        <w:tc>
          <w:tcPr>
            <w:tcW w:w="692" w:type="pct"/>
            <w:tcBorders>
              <w:top w:val="single" w:color="auto" w:sz="4" w:space="0"/>
              <w:bottom w:val="single" w:color="auto" w:sz="4" w:space="0"/>
            </w:tcBorders>
            <w:vAlign w:val="center"/>
          </w:tcPr>
          <w:p w14:paraId="753B042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Frequency</w:t>
            </w:r>
          </w:p>
        </w:tc>
        <w:tc>
          <w:tcPr>
            <w:tcW w:w="724" w:type="pct"/>
            <w:tcBorders>
              <w:top w:val="single" w:color="auto" w:sz="4" w:space="0"/>
              <w:bottom w:val="single" w:color="auto" w:sz="4" w:space="0"/>
            </w:tcBorders>
            <w:vAlign w:val="center"/>
          </w:tcPr>
          <w:p w14:paraId="741A3FC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Percentage</w:t>
            </w:r>
          </w:p>
        </w:tc>
      </w:tr>
      <w:tr w14:paraId="0BBC2C7B">
        <w:tblPrEx>
          <w:tblCellMar>
            <w:top w:w="15" w:type="dxa"/>
            <w:left w:w="15" w:type="dxa"/>
            <w:bottom w:w="15" w:type="dxa"/>
            <w:right w:w="15" w:type="dxa"/>
          </w:tblCellMar>
        </w:tblPrEx>
        <w:trPr>
          <w:tblCellSpacing w:w="15" w:type="dxa"/>
        </w:trPr>
        <w:tc>
          <w:tcPr>
            <w:tcW w:w="1468" w:type="pct"/>
            <w:vAlign w:val="center"/>
          </w:tcPr>
          <w:p w14:paraId="347B844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Academic Level</w:t>
            </w:r>
          </w:p>
        </w:tc>
        <w:tc>
          <w:tcPr>
            <w:tcW w:w="2035" w:type="pct"/>
            <w:vAlign w:val="center"/>
          </w:tcPr>
          <w:p w14:paraId="018D7E3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Undergraduate Students</w:t>
            </w:r>
          </w:p>
        </w:tc>
        <w:tc>
          <w:tcPr>
            <w:tcW w:w="692" w:type="pct"/>
            <w:vAlign w:val="center"/>
          </w:tcPr>
          <w:p w14:paraId="2C2EE9B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w:t>
            </w:r>
          </w:p>
        </w:tc>
        <w:tc>
          <w:tcPr>
            <w:tcW w:w="724" w:type="pct"/>
            <w:vAlign w:val="center"/>
          </w:tcPr>
          <w:p w14:paraId="1EC8784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28.0%</w:t>
            </w:r>
          </w:p>
        </w:tc>
      </w:tr>
      <w:tr w14:paraId="2546C93F">
        <w:tblPrEx>
          <w:tblCellMar>
            <w:top w:w="15" w:type="dxa"/>
            <w:left w:w="15" w:type="dxa"/>
            <w:bottom w:w="15" w:type="dxa"/>
            <w:right w:w="15" w:type="dxa"/>
          </w:tblCellMar>
        </w:tblPrEx>
        <w:trPr>
          <w:tblCellSpacing w:w="15" w:type="dxa"/>
        </w:trPr>
        <w:tc>
          <w:tcPr>
            <w:tcW w:w="1468" w:type="pct"/>
            <w:vAlign w:val="center"/>
          </w:tcPr>
          <w:p w14:paraId="4D03283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0D2B7B2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Postgraduate Students</w:t>
            </w:r>
          </w:p>
        </w:tc>
        <w:tc>
          <w:tcPr>
            <w:tcW w:w="692" w:type="pct"/>
            <w:vAlign w:val="center"/>
          </w:tcPr>
          <w:p w14:paraId="5821226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58</w:t>
            </w:r>
          </w:p>
        </w:tc>
        <w:tc>
          <w:tcPr>
            <w:tcW w:w="724" w:type="pct"/>
            <w:vAlign w:val="center"/>
          </w:tcPr>
          <w:p w14:paraId="0A316D9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38.7%</w:t>
            </w:r>
          </w:p>
        </w:tc>
      </w:tr>
      <w:tr w14:paraId="2A922B1A">
        <w:tblPrEx>
          <w:tblCellMar>
            <w:top w:w="15" w:type="dxa"/>
            <w:left w:w="15" w:type="dxa"/>
            <w:bottom w:w="15" w:type="dxa"/>
            <w:right w:w="15" w:type="dxa"/>
          </w:tblCellMar>
        </w:tblPrEx>
        <w:trPr>
          <w:tblCellSpacing w:w="15" w:type="dxa"/>
        </w:trPr>
        <w:tc>
          <w:tcPr>
            <w:tcW w:w="1468" w:type="pct"/>
            <w:vAlign w:val="center"/>
          </w:tcPr>
          <w:p w14:paraId="27A34BF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3EA6AAB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Research Scholars</w:t>
            </w:r>
          </w:p>
        </w:tc>
        <w:tc>
          <w:tcPr>
            <w:tcW w:w="692" w:type="pct"/>
            <w:vAlign w:val="center"/>
          </w:tcPr>
          <w:p w14:paraId="1AEFC96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31</w:t>
            </w:r>
          </w:p>
        </w:tc>
        <w:tc>
          <w:tcPr>
            <w:tcW w:w="724" w:type="pct"/>
            <w:vAlign w:val="center"/>
          </w:tcPr>
          <w:p w14:paraId="7C0D701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20.7%</w:t>
            </w:r>
          </w:p>
        </w:tc>
      </w:tr>
      <w:tr w14:paraId="28639A3F">
        <w:tblPrEx>
          <w:tblCellMar>
            <w:top w:w="15" w:type="dxa"/>
            <w:left w:w="15" w:type="dxa"/>
            <w:bottom w:w="15" w:type="dxa"/>
            <w:right w:w="15" w:type="dxa"/>
          </w:tblCellMar>
        </w:tblPrEx>
        <w:trPr>
          <w:tblCellSpacing w:w="15" w:type="dxa"/>
        </w:trPr>
        <w:tc>
          <w:tcPr>
            <w:tcW w:w="1468" w:type="pct"/>
            <w:vAlign w:val="center"/>
          </w:tcPr>
          <w:p w14:paraId="448C4AF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5524498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Faculty Members / Professionals</w:t>
            </w:r>
          </w:p>
        </w:tc>
        <w:tc>
          <w:tcPr>
            <w:tcW w:w="692" w:type="pct"/>
            <w:vAlign w:val="center"/>
          </w:tcPr>
          <w:p w14:paraId="6C26C16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19</w:t>
            </w:r>
          </w:p>
        </w:tc>
        <w:tc>
          <w:tcPr>
            <w:tcW w:w="724" w:type="pct"/>
            <w:vAlign w:val="center"/>
          </w:tcPr>
          <w:p w14:paraId="25D646B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12.6%</w:t>
            </w:r>
          </w:p>
        </w:tc>
      </w:tr>
      <w:tr w14:paraId="70CF297A">
        <w:tblPrEx>
          <w:tblCellMar>
            <w:top w:w="15" w:type="dxa"/>
            <w:left w:w="15" w:type="dxa"/>
            <w:bottom w:w="15" w:type="dxa"/>
            <w:right w:w="15" w:type="dxa"/>
          </w:tblCellMar>
        </w:tblPrEx>
        <w:trPr>
          <w:tblCellSpacing w:w="15" w:type="dxa"/>
        </w:trPr>
        <w:tc>
          <w:tcPr>
            <w:tcW w:w="1468" w:type="pct"/>
            <w:vAlign w:val="center"/>
          </w:tcPr>
          <w:p w14:paraId="10212C7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Field of Study</w:t>
            </w:r>
          </w:p>
        </w:tc>
        <w:tc>
          <w:tcPr>
            <w:tcW w:w="2035" w:type="pct"/>
            <w:vAlign w:val="center"/>
          </w:tcPr>
          <w:p w14:paraId="63B3B94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Biology / Biotechnology</w:t>
            </w:r>
          </w:p>
        </w:tc>
        <w:tc>
          <w:tcPr>
            <w:tcW w:w="692" w:type="pct"/>
            <w:vAlign w:val="center"/>
          </w:tcPr>
          <w:p w14:paraId="00D8CAA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46</w:t>
            </w:r>
          </w:p>
        </w:tc>
        <w:tc>
          <w:tcPr>
            <w:tcW w:w="724" w:type="pct"/>
            <w:vAlign w:val="center"/>
          </w:tcPr>
          <w:p w14:paraId="17E2BF3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30.7%</w:t>
            </w:r>
          </w:p>
        </w:tc>
      </w:tr>
      <w:tr w14:paraId="34F8B3C7">
        <w:tblPrEx>
          <w:tblCellMar>
            <w:top w:w="15" w:type="dxa"/>
            <w:left w:w="15" w:type="dxa"/>
            <w:bottom w:w="15" w:type="dxa"/>
            <w:right w:w="15" w:type="dxa"/>
          </w:tblCellMar>
        </w:tblPrEx>
        <w:trPr>
          <w:tblCellSpacing w:w="15" w:type="dxa"/>
        </w:trPr>
        <w:tc>
          <w:tcPr>
            <w:tcW w:w="1468" w:type="pct"/>
            <w:vAlign w:val="center"/>
          </w:tcPr>
          <w:p w14:paraId="56771A0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322D712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Bioinformatics</w:t>
            </w:r>
          </w:p>
        </w:tc>
        <w:tc>
          <w:tcPr>
            <w:tcW w:w="692" w:type="pct"/>
            <w:vAlign w:val="center"/>
          </w:tcPr>
          <w:p w14:paraId="145AC86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29</w:t>
            </w:r>
          </w:p>
        </w:tc>
        <w:tc>
          <w:tcPr>
            <w:tcW w:w="724" w:type="pct"/>
            <w:vAlign w:val="center"/>
          </w:tcPr>
          <w:p w14:paraId="79C5D13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19.3%</w:t>
            </w:r>
          </w:p>
        </w:tc>
      </w:tr>
      <w:tr w14:paraId="0D3C94B3">
        <w:tblPrEx>
          <w:tblCellMar>
            <w:top w:w="15" w:type="dxa"/>
            <w:left w:w="15" w:type="dxa"/>
            <w:bottom w:w="15" w:type="dxa"/>
            <w:right w:w="15" w:type="dxa"/>
          </w:tblCellMar>
        </w:tblPrEx>
        <w:trPr>
          <w:tblCellSpacing w:w="15" w:type="dxa"/>
        </w:trPr>
        <w:tc>
          <w:tcPr>
            <w:tcW w:w="1468" w:type="pct"/>
            <w:vAlign w:val="center"/>
          </w:tcPr>
          <w:p w14:paraId="4415B02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0F12F63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Mathematics / Statistics</w:t>
            </w:r>
          </w:p>
        </w:tc>
        <w:tc>
          <w:tcPr>
            <w:tcW w:w="692" w:type="pct"/>
            <w:vAlign w:val="center"/>
          </w:tcPr>
          <w:p w14:paraId="657BC0F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24</w:t>
            </w:r>
          </w:p>
        </w:tc>
        <w:tc>
          <w:tcPr>
            <w:tcW w:w="724" w:type="pct"/>
            <w:vAlign w:val="center"/>
          </w:tcPr>
          <w:p w14:paraId="57A5C32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16.0%</w:t>
            </w:r>
          </w:p>
        </w:tc>
      </w:tr>
      <w:tr w14:paraId="52B10943">
        <w:tblPrEx>
          <w:tblCellMar>
            <w:top w:w="15" w:type="dxa"/>
            <w:left w:w="15" w:type="dxa"/>
            <w:bottom w:w="15" w:type="dxa"/>
            <w:right w:w="15" w:type="dxa"/>
          </w:tblCellMar>
        </w:tblPrEx>
        <w:trPr>
          <w:tblCellSpacing w:w="15" w:type="dxa"/>
        </w:trPr>
        <w:tc>
          <w:tcPr>
            <w:tcW w:w="1468" w:type="pct"/>
            <w:vAlign w:val="center"/>
          </w:tcPr>
          <w:p w14:paraId="68214F3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60E9206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Computer Science / AI</w:t>
            </w:r>
          </w:p>
        </w:tc>
        <w:tc>
          <w:tcPr>
            <w:tcW w:w="692" w:type="pct"/>
            <w:vAlign w:val="center"/>
          </w:tcPr>
          <w:p w14:paraId="6A8C584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34</w:t>
            </w:r>
          </w:p>
        </w:tc>
        <w:tc>
          <w:tcPr>
            <w:tcW w:w="724" w:type="pct"/>
            <w:vAlign w:val="center"/>
          </w:tcPr>
          <w:p w14:paraId="252334E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22.7%</w:t>
            </w:r>
          </w:p>
        </w:tc>
      </w:tr>
      <w:tr w14:paraId="6AFE9F9D">
        <w:tblPrEx>
          <w:tblCellMar>
            <w:top w:w="15" w:type="dxa"/>
            <w:left w:w="15" w:type="dxa"/>
            <w:bottom w:w="15" w:type="dxa"/>
            <w:right w:w="15" w:type="dxa"/>
          </w:tblCellMar>
        </w:tblPrEx>
        <w:trPr>
          <w:tblCellSpacing w:w="15" w:type="dxa"/>
        </w:trPr>
        <w:tc>
          <w:tcPr>
            <w:tcW w:w="1468" w:type="pct"/>
            <w:vAlign w:val="center"/>
          </w:tcPr>
          <w:p w14:paraId="6CBD218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2EBC689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Health Sciences</w:t>
            </w:r>
          </w:p>
        </w:tc>
        <w:tc>
          <w:tcPr>
            <w:tcW w:w="692" w:type="pct"/>
            <w:vAlign w:val="center"/>
          </w:tcPr>
          <w:p w14:paraId="0D04A72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17</w:t>
            </w:r>
          </w:p>
        </w:tc>
        <w:tc>
          <w:tcPr>
            <w:tcW w:w="724" w:type="pct"/>
            <w:vAlign w:val="center"/>
          </w:tcPr>
          <w:p w14:paraId="068D04D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11.3%</w:t>
            </w:r>
          </w:p>
        </w:tc>
      </w:tr>
      <w:tr w14:paraId="32DB0763">
        <w:tblPrEx>
          <w:tblCellMar>
            <w:top w:w="15" w:type="dxa"/>
            <w:left w:w="15" w:type="dxa"/>
            <w:bottom w:w="15" w:type="dxa"/>
            <w:right w:w="15" w:type="dxa"/>
          </w:tblCellMar>
        </w:tblPrEx>
        <w:trPr>
          <w:tblCellSpacing w:w="15" w:type="dxa"/>
        </w:trPr>
        <w:tc>
          <w:tcPr>
            <w:tcW w:w="1468" w:type="pct"/>
            <w:vAlign w:val="center"/>
          </w:tcPr>
          <w:p w14:paraId="453E342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Research Exposure</w:t>
            </w:r>
          </w:p>
        </w:tc>
        <w:tc>
          <w:tcPr>
            <w:tcW w:w="2035" w:type="pct"/>
            <w:vAlign w:val="center"/>
          </w:tcPr>
          <w:p w14:paraId="7E62DDF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Yes</w:t>
            </w:r>
          </w:p>
        </w:tc>
        <w:tc>
          <w:tcPr>
            <w:tcW w:w="692" w:type="pct"/>
            <w:vAlign w:val="center"/>
          </w:tcPr>
          <w:p w14:paraId="31EADA0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102</w:t>
            </w:r>
          </w:p>
        </w:tc>
        <w:tc>
          <w:tcPr>
            <w:tcW w:w="724" w:type="pct"/>
            <w:vAlign w:val="center"/>
          </w:tcPr>
          <w:p w14:paraId="19BAEB2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68.0%</w:t>
            </w:r>
          </w:p>
        </w:tc>
      </w:tr>
      <w:tr w14:paraId="10DCAC87">
        <w:tblPrEx>
          <w:tblCellMar>
            <w:top w:w="15" w:type="dxa"/>
            <w:left w:w="15" w:type="dxa"/>
            <w:bottom w:w="15" w:type="dxa"/>
            <w:right w:w="15" w:type="dxa"/>
          </w:tblCellMar>
        </w:tblPrEx>
        <w:trPr>
          <w:tblCellSpacing w:w="15" w:type="dxa"/>
        </w:trPr>
        <w:tc>
          <w:tcPr>
            <w:tcW w:w="1468" w:type="pct"/>
            <w:vAlign w:val="center"/>
          </w:tcPr>
          <w:p w14:paraId="17B735D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2035" w:type="pct"/>
            <w:vAlign w:val="center"/>
          </w:tcPr>
          <w:p w14:paraId="6A9A0B0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No</w:t>
            </w:r>
          </w:p>
        </w:tc>
        <w:tc>
          <w:tcPr>
            <w:tcW w:w="692" w:type="pct"/>
            <w:vAlign w:val="center"/>
          </w:tcPr>
          <w:p w14:paraId="32A681D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48</w:t>
            </w:r>
          </w:p>
        </w:tc>
        <w:tc>
          <w:tcPr>
            <w:tcW w:w="724" w:type="pct"/>
            <w:vAlign w:val="center"/>
          </w:tcPr>
          <w:p w14:paraId="38CFA43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32.0%</w:t>
            </w:r>
          </w:p>
        </w:tc>
      </w:tr>
      <w:tr w14:paraId="3C760DC7">
        <w:tblPrEx>
          <w:tblCellMar>
            <w:top w:w="15" w:type="dxa"/>
            <w:left w:w="15" w:type="dxa"/>
            <w:bottom w:w="15" w:type="dxa"/>
            <w:right w:w="15" w:type="dxa"/>
          </w:tblCellMar>
        </w:tblPrEx>
        <w:trPr>
          <w:tblCellSpacing w:w="15" w:type="dxa"/>
        </w:trPr>
        <w:tc>
          <w:tcPr>
            <w:tcW w:w="1468" w:type="pct"/>
            <w:tcBorders>
              <w:bottom w:val="single" w:color="auto" w:sz="4" w:space="0"/>
            </w:tcBorders>
            <w:vAlign w:val="center"/>
          </w:tcPr>
          <w:p w14:paraId="7CD36DE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Total</w:t>
            </w:r>
          </w:p>
        </w:tc>
        <w:tc>
          <w:tcPr>
            <w:tcW w:w="2035" w:type="pct"/>
            <w:tcBorders>
              <w:bottom w:val="single" w:color="auto" w:sz="4" w:space="0"/>
            </w:tcBorders>
            <w:vAlign w:val="center"/>
          </w:tcPr>
          <w:p w14:paraId="562B9C2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p>
        </w:tc>
        <w:tc>
          <w:tcPr>
            <w:tcW w:w="692" w:type="pct"/>
            <w:tcBorders>
              <w:bottom w:val="single" w:color="auto" w:sz="4" w:space="0"/>
            </w:tcBorders>
            <w:vAlign w:val="center"/>
          </w:tcPr>
          <w:p w14:paraId="6212FD7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150</w:t>
            </w:r>
          </w:p>
        </w:tc>
        <w:tc>
          <w:tcPr>
            <w:tcW w:w="724" w:type="pct"/>
            <w:tcBorders>
              <w:bottom w:val="single" w:color="auto" w:sz="4" w:space="0"/>
            </w:tcBorders>
            <w:vAlign w:val="center"/>
          </w:tcPr>
          <w:p w14:paraId="0D92313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100%</w:t>
            </w:r>
          </w:p>
        </w:tc>
      </w:tr>
    </w:tbl>
    <w:p w14:paraId="1D7D818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space="720" w:num="1"/>
          <w:docGrid w:linePitch="360" w:charSpace="0"/>
        </w:sectPr>
      </w:pPr>
    </w:p>
    <w:p w14:paraId="17FB512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In Table 1, the largest group was postgraduate students, who accounted for 38.7% of the respondents (58). The percentages of Undergraduate Students, Research Scholars, and Faculty Members/Professionals are 28.0%, 20.7%, and 12.6%, respectively. The distribution revealed that 30.7% of the respondents were from the field of biology or biotechnology, 22.7% from computer science or artificial intelligence, 19.3% from bioinformatics, 16.0% from mathematics and statistics, and 11.3% from health sciences. In addition, 68.0% of respondents reported exposure to research, while 32.0% reported no exposure. This result indicates that most of the respondents were academically oriented or professionally trained in research methodology, data analysis/or biological systems, and/or digital software tools.</w:t>
      </w:r>
    </w:p>
    <w:p w14:paraId="50331ED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1F641D8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drawing>
          <wp:inline distT="0" distB="0" distL="0" distR="0">
            <wp:extent cx="5943600" cy="3108325"/>
            <wp:effectExtent l="0" t="0" r="0" b="15875"/>
            <wp:docPr id="1130051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51704" name="Picture 1"/>
                    <pic:cNvPicPr>
                      <a:picLocks noChangeAspect="1"/>
                    </pic:cNvPicPr>
                  </pic:nvPicPr>
                  <pic:blipFill>
                    <a:blip r:embed="rId8" cstate="print">
                      <a:extLst>
                        <a:ext uri="{28A0092B-C50C-407E-A947-70E740481C1C}">
                          <a14:useLocalDpi xmlns:a14="http://schemas.microsoft.com/office/drawing/2010/main" val="0"/>
                        </a:ext>
                      </a:extLst>
                    </a:blip>
                    <a:srcRect t="7080"/>
                    <a:stretch>
                      <a:fillRect/>
                    </a:stretch>
                  </pic:blipFill>
                  <pic:spPr>
                    <a:xfrm>
                      <a:off x="0" y="0"/>
                      <a:ext cx="5943600" cy="3108325"/>
                    </a:xfrm>
                    <a:prstGeom prst="rect">
                      <a:avLst/>
                    </a:prstGeom>
                  </pic:spPr>
                </pic:pic>
              </a:graphicData>
            </a:graphic>
          </wp:inline>
        </w:drawing>
      </w:r>
    </w:p>
    <w:p w14:paraId="5ECE9DC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b/>
          <w:bCs/>
          <w:i/>
          <w:iCs/>
          <w:sz w:val="22"/>
          <w:szCs w:val="22"/>
        </w:rPr>
      </w:pPr>
      <w:r>
        <w:rPr>
          <w:rFonts w:hint="default" w:ascii="Goudy Old Style" w:hAnsi="Goudy Old Style" w:cs="Goudy Old Style"/>
          <w:b/>
          <w:bCs/>
          <w:i/>
          <w:iCs/>
          <w:sz w:val="22"/>
          <w:szCs w:val="22"/>
        </w:rPr>
        <w:t>Figure 1. Demographic Profile of Respondents</w:t>
      </w:r>
    </w:p>
    <w:p w14:paraId="2F2A060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space="720" w:num="1"/>
          <w:docGrid w:linePitch="360" w:charSpace="0"/>
        </w:sectPr>
      </w:pPr>
    </w:p>
    <w:p w14:paraId="37871F2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Respondents' Perception of Biomathematics in Biological Modeling</w:t>
      </w:r>
    </w:p>
    <w:p w14:paraId="55C1EDE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This analyzes the respondents' views about the role of biomathematics in understanding and modeling complex biological systems.</w:t>
      </w:r>
    </w:p>
    <w:p w14:paraId="5238BA1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16752CB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5B9128D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0BD1C57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i/>
          <w:iCs/>
          <w:sz w:val="22"/>
          <w:szCs w:val="22"/>
        </w:rPr>
      </w:pPr>
      <w:r>
        <w:rPr>
          <w:rFonts w:hint="default" w:ascii="Goudy Old Style" w:hAnsi="Goudy Old Style" w:cs="Goudy Old Style"/>
          <w:b/>
          <w:bCs/>
          <w:sz w:val="22"/>
          <w:szCs w:val="22"/>
        </w:rPr>
        <w:t>Table 2</w:t>
      </w:r>
      <w:r>
        <w:rPr>
          <w:rFonts w:hint="default" w:ascii="Goudy Old Style" w:hAnsi="Goudy Old Style" w:cs="Goudy Old Style"/>
          <w:b/>
          <w:bCs/>
          <w:sz w:val="22"/>
          <w:szCs w:val="22"/>
          <w:lang w:val="en-US"/>
        </w:rPr>
        <w:t>:</w:t>
      </w:r>
      <w:r>
        <w:rPr>
          <w:rFonts w:hint="default" w:ascii="Goudy Old Style" w:hAnsi="Goudy Old Style" w:cs="Goudy Old Style"/>
          <w:b/>
          <w:bCs/>
          <w:sz w:val="22"/>
          <w:szCs w:val="22"/>
          <w:lang w:val="en-US"/>
        </w:rPr>
        <w:tab/>
      </w:r>
      <w:r>
        <w:rPr>
          <w:rFonts w:hint="default" w:ascii="Goudy Old Style" w:hAnsi="Goudy Old Style" w:cs="Goudy Old Style"/>
          <w:b/>
          <w:bCs/>
          <w:i/>
          <w:iCs/>
          <w:sz w:val="22"/>
          <w:szCs w:val="22"/>
        </w:rPr>
        <w:t>Respondents' Perception of Biomathematics in Biological Modeling</w:t>
      </w:r>
    </w:p>
    <w:tbl>
      <w:tblPr>
        <w:tblStyle w:val="12"/>
        <w:tblW w:w="5000" w:type="pct"/>
        <w:tblCellSpacing w:w="15" w:type="dxa"/>
        <w:tblInd w:w="0" w:type="dxa"/>
        <w:tblLayout w:type="autofit"/>
        <w:tblCellMar>
          <w:top w:w="15" w:type="dxa"/>
          <w:left w:w="15" w:type="dxa"/>
          <w:bottom w:w="15" w:type="dxa"/>
          <w:right w:w="15" w:type="dxa"/>
        </w:tblCellMar>
      </w:tblPr>
      <w:tblGrid>
        <w:gridCol w:w="5980"/>
        <w:gridCol w:w="567"/>
        <w:gridCol w:w="1552"/>
        <w:gridCol w:w="1351"/>
      </w:tblGrid>
      <w:tr w14:paraId="4B613737">
        <w:tblPrEx>
          <w:tblCellMar>
            <w:top w:w="15" w:type="dxa"/>
            <w:left w:w="15" w:type="dxa"/>
            <w:bottom w:w="15" w:type="dxa"/>
            <w:right w:w="15" w:type="dxa"/>
          </w:tblCellMar>
        </w:tblPrEx>
        <w:trPr>
          <w:tblHeader/>
          <w:tblCellSpacing w:w="15" w:type="dxa"/>
        </w:trPr>
        <w:tc>
          <w:tcPr>
            <w:tcW w:w="3139" w:type="pct"/>
            <w:tcBorders>
              <w:top w:val="single" w:color="auto" w:sz="4" w:space="0"/>
              <w:bottom w:val="single" w:color="auto" w:sz="4" w:space="0"/>
            </w:tcBorders>
            <w:vAlign w:val="center"/>
          </w:tcPr>
          <w:p w14:paraId="09911F5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Statement</w:t>
            </w:r>
          </w:p>
        </w:tc>
        <w:tc>
          <w:tcPr>
            <w:tcW w:w="284" w:type="pct"/>
            <w:tcBorders>
              <w:top w:val="single" w:color="auto" w:sz="4" w:space="0"/>
              <w:bottom w:val="single" w:color="auto" w:sz="4" w:space="0"/>
            </w:tcBorders>
            <w:vAlign w:val="center"/>
          </w:tcPr>
          <w:p w14:paraId="1F6B9CB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Mean</w:t>
            </w:r>
          </w:p>
        </w:tc>
        <w:tc>
          <w:tcPr>
            <w:tcW w:w="805" w:type="pct"/>
            <w:tcBorders>
              <w:top w:val="single" w:color="auto" w:sz="4" w:space="0"/>
              <w:bottom w:val="single" w:color="auto" w:sz="4" w:space="0"/>
            </w:tcBorders>
            <w:vAlign w:val="center"/>
          </w:tcPr>
          <w:p w14:paraId="7E6862C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Standard Deviation</w:t>
            </w:r>
          </w:p>
        </w:tc>
        <w:tc>
          <w:tcPr>
            <w:tcW w:w="691" w:type="pct"/>
            <w:tcBorders>
              <w:top w:val="single" w:color="auto" w:sz="4" w:space="0"/>
              <w:bottom w:val="single" w:color="auto" w:sz="4" w:space="0"/>
            </w:tcBorders>
            <w:vAlign w:val="center"/>
          </w:tcPr>
          <w:p w14:paraId="05A2A35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Interpretation</w:t>
            </w:r>
          </w:p>
        </w:tc>
      </w:tr>
      <w:tr w14:paraId="68D3EE81">
        <w:tblPrEx>
          <w:tblCellMar>
            <w:top w:w="15" w:type="dxa"/>
            <w:left w:w="15" w:type="dxa"/>
            <w:bottom w:w="15" w:type="dxa"/>
            <w:right w:w="15" w:type="dxa"/>
          </w:tblCellMar>
        </w:tblPrEx>
        <w:trPr>
          <w:tblCellSpacing w:w="15" w:type="dxa"/>
        </w:trPr>
        <w:tc>
          <w:tcPr>
            <w:tcW w:w="3139" w:type="pct"/>
            <w:vAlign w:val="center"/>
          </w:tcPr>
          <w:p w14:paraId="6B90276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Mathematical models explained complex biological processes clearly.</w:t>
            </w:r>
          </w:p>
        </w:tc>
        <w:tc>
          <w:tcPr>
            <w:tcW w:w="284" w:type="pct"/>
            <w:vAlign w:val="center"/>
          </w:tcPr>
          <w:p w14:paraId="1445506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4.18</w:t>
            </w:r>
          </w:p>
        </w:tc>
        <w:tc>
          <w:tcPr>
            <w:tcW w:w="805" w:type="pct"/>
            <w:vAlign w:val="center"/>
          </w:tcPr>
          <w:p w14:paraId="422A1DC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0.72</w:t>
            </w:r>
          </w:p>
        </w:tc>
        <w:tc>
          <w:tcPr>
            <w:tcW w:w="691" w:type="pct"/>
            <w:vAlign w:val="center"/>
          </w:tcPr>
          <w:p w14:paraId="64C4B15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3D5688E0">
        <w:tblPrEx>
          <w:tblCellMar>
            <w:top w:w="15" w:type="dxa"/>
            <w:left w:w="15" w:type="dxa"/>
            <w:bottom w:w="15" w:type="dxa"/>
            <w:right w:w="15" w:type="dxa"/>
          </w:tblCellMar>
        </w:tblPrEx>
        <w:trPr>
          <w:tblCellSpacing w:w="15" w:type="dxa"/>
        </w:trPr>
        <w:tc>
          <w:tcPr>
            <w:tcW w:w="3139" w:type="pct"/>
            <w:vAlign w:val="center"/>
          </w:tcPr>
          <w:p w14:paraId="2571C8E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Biomathematics improved the understanding of disease progression.</w:t>
            </w:r>
          </w:p>
        </w:tc>
        <w:tc>
          <w:tcPr>
            <w:tcW w:w="284" w:type="pct"/>
            <w:vAlign w:val="center"/>
          </w:tcPr>
          <w:p w14:paraId="1934C09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4.11</w:t>
            </w:r>
          </w:p>
        </w:tc>
        <w:tc>
          <w:tcPr>
            <w:tcW w:w="805" w:type="pct"/>
            <w:vAlign w:val="center"/>
          </w:tcPr>
          <w:p w14:paraId="17CD8B6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0.78</w:t>
            </w:r>
          </w:p>
        </w:tc>
        <w:tc>
          <w:tcPr>
            <w:tcW w:w="691" w:type="pct"/>
            <w:vAlign w:val="center"/>
          </w:tcPr>
          <w:p w14:paraId="4369650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46D56A31">
        <w:tblPrEx>
          <w:tblCellMar>
            <w:top w:w="15" w:type="dxa"/>
            <w:left w:w="15" w:type="dxa"/>
            <w:bottom w:w="15" w:type="dxa"/>
            <w:right w:w="15" w:type="dxa"/>
          </w:tblCellMar>
        </w:tblPrEx>
        <w:trPr>
          <w:tblCellSpacing w:w="15" w:type="dxa"/>
        </w:trPr>
        <w:tc>
          <w:tcPr>
            <w:tcW w:w="3139" w:type="pct"/>
            <w:vAlign w:val="center"/>
          </w:tcPr>
          <w:p w14:paraId="3BCDDB7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Mathematical equations supported the prediction of biological outcomes.</w:t>
            </w:r>
          </w:p>
        </w:tc>
        <w:tc>
          <w:tcPr>
            <w:tcW w:w="284" w:type="pct"/>
            <w:vAlign w:val="center"/>
          </w:tcPr>
          <w:p w14:paraId="6368E86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4.07</w:t>
            </w:r>
          </w:p>
        </w:tc>
        <w:tc>
          <w:tcPr>
            <w:tcW w:w="805" w:type="pct"/>
            <w:vAlign w:val="center"/>
          </w:tcPr>
          <w:p w14:paraId="4AA97E0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0.81</w:t>
            </w:r>
          </w:p>
        </w:tc>
        <w:tc>
          <w:tcPr>
            <w:tcW w:w="691" w:type="pct"/>
            <w:vAlign w:val="center"/>
          </w:tcPr>
          <w:p w14:paraId="6354C9F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3B15FAE7">
        <w:tblPrEx>
          <w:tblCellMar>
            <w:top w:w="15" w:type="dxa"/>
            <w:left w:w="15" w:type="dxa"/>
            <w:bottom w:w="15" w:type="dxa"/>
            <w:right w:w="15" w:type="dxa"/>
          </w:tblCellMar>
        </w:tblPrEx>
        <w:trPr>
          <w:tblCellSpacing w:w="15" w:type="dxa"/>
        </w:trPr>
        <w:tc>
          <w:tcPr>
            <w:tcW w:w="3139" w:type="pct"/>
            <w:vAlign w:val="center"/>
          </w:tcPr>
          <w:p w14:paraId="0457A2A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Simulation models helped in studying biological systems without direct experimentation.</w:t>
            </w:r>
          </w:p>
        </w:tc>
        <w:tc>
          <w:tcPr>
            <w:tcW w:w="284" w:type="pct"/>
            <w:vAlign w:val="center"/>
          </w:tcPr>
          <w:p w14:paraId="3106E99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4.22</w:t>
            </w:r>
          </w:p>
        </w:tc>
        <w:tc>
          <w:tcPr>
            <w:tcW w:w="805" w:type="pct"/>
            <w:vAlign w:val="center"/>
          </w:tcPr>
          <w:p w14:paraId="713CC77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0.69</w:t>
            </w:r>
          </w:p>
        </w:tc>
        <w:tc>
          <w:tcPr>
            <w:tcW w:w="691" w:type="pct"/>
            <w:vAlign w:val="center"/>
          </w:tcPr>
          <w:p w14:paraId="43BCBFC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53265EBE">
        <w:tblPrEx>
          <w:tblCellMar>
            <w:top w:w="15" w:type="dxa"/>
            <w:left w:w="15" w:type="dxa"/>
            <w:bottom w:w="15" w:type="dxa"/>
            <w:right w:w="15" w:type="dxa"/>
          </w:tblCellMar>
        </w:tblPrEx>
        <w:trPr>
          <w:tblCellSpacing w:w="15" w:type="dxa"/>
        </w:trPr>
        <w:tc>
          <w:tcPr>
            <w:tcW w:w="3139" w:type="pct"/>
            <w:tcBorders>
              <w:bottom w:val="single" w:color="auto" w:sz="4" w:space="0"/>
            </w:tcBorders>
            <w:vAlign w:val="center"/>
          </w:tcPr>
          <w:p w14:paraId="55473FF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Biomathematics connected biology with statistics, computation, and data analysis.</w:t>
            </w:r>
          </w:p>
        </w:tc>
        <w:tc>
          <w:tcPr>
            <w:tcW w:w="284" w:type="pct"/>
            <w:tcBorders>
              <w:bottom w:val="single" w:color="auto" w:sz="4" w:space="0"/>
            </w:tcBorders>
            <w:vAlign w:val="center"/>
          </w:tcPr>
          <w:p w14:paraId="296CDA1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4.31</w:t>
            </w:r>
          </w:p>
        </w:tc>
        <w:tc>
          <w:tcPr>
            <w:tcW w:w="805" w:type="pct"/>
            <w:tcBorders>
              <w:bottom w:val="single" w:color="auto" w:sz="4" w:space="0"/>
            </w:tcBorders>
            <w:vAlign w:val="center"/>
          </w:tcPr>
          <w:p w14:paraId="4FF7808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0.66</w:t>
            </w:r>
          </w:p>
        </w:tc>
        <w:tc>
          <w:tcPr>
            <w:tcW w:w="691" w:type="pct"/>
            <w:tcBorders>
              <w:bottom w:val="single" w:color="auto" w:sz="4" w:space="0"/>
            </w:tcBorders>
            <w:vAlign w:val="center"/>
          </w:tcPr>
          <w:p w14:paraId="650A31D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bl>
    <w:p w14:paraId="7A786EC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sectPr>
          <w:type w:val="continuous"/>
          <w:pgSz w:w="12240" w:h="15840"/>
          <w:pgMar w:top="1440" w:right="1440" w:bottom="1440" w:left="1440" w:header="720" w:footer="720" w:gutter="0"/>
          <w:pgNumType w:fmt="decimal"/>
          <w:cols w:space="720" w:num="1"/>
          <w:docGrid w:linePitch="360" w:charSpace="0"/>
        </w:sectPr>
      </w:pPr>
    </w:p>
    <w:p w14:paraId="020D78D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 xml:space="preserve">Table 2 shows that, in general, opinions were high and agreed on the importance of biomathematics in biological modelling. The statement with the highest mean score was: "Biomathematics establishes a linkage between biology, statistics/computation, and data analysis." The mean score for the item Simulation models is 4.22, a very high score. The results indicate that the respondents believe that simulation is a good way to investigate biological systems without performing a real experiment. The mean score of the other statements was also high (4.07-4.18). </w:t>
      </w:r>
    </w:p>
    <w:p w14:paraId="57BBE23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59E287F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drawing>
          <wp:inline distT="0" distB="0" distL="0" distR="0">
            <wp:extent cx="6309360" cy="3419475"/>
            <wp:effectExtent l="0" t="0" r="15240" b="9525"/>
            <wp:docPr id="865790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90648" name="Picture 2"/>
                    <pic:cNvPicPr>
                      <a:picLocks noChangeAspect="1"/>
                    </pic:cNvPicPr>
                  </pic:nvPicPr>
                  <pic:blipFill>
                    <a:blip r:embed="rId9">
                      <a:extLst>
                        <a:ext uri="{28A0092B-C50C-407E-A947-70E740481C1C}">
                          <a14:useLocalDpi xmlns:a14="http://schemas.microsoft.com/office/drawing/2010/main" val="0"/>
                        </a:ext>
                      </a:extLst>
                    </a:blip>
                    <a:srcRect t="6251" b="-8404"/>
                    <a:stretch>
                      <a:fillRect/>
                    </a:stretch>
                  </pic:blipFill>
                  <pic:spPr>
                    <a:xfrm>
                      <a:off x="0" y="0"/>
                      <a:ext cx="6309360" cy="3419475"/>
                    </a:xfrm>
                    <a:prstGeom prst="rect">
                      <a:avLst/>
                    </a:prstGeom>
                  </pic:spPr>
                </pic:pic>
              </a:graphicData>
            </a:graphic>
          </wp:inline>
        </w:drawing>
      </w:r>
    </w:p>
    <w:p w14:paraId="62869B6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b/>
          <w:bCs/>
          <w:i/>
          <w:iCs/>
          <w:sz w:val="22"/>
          <w:szCs w:val="22"/>
        </w:rPr>
      </w:pPr>
      <w:r>
        <w:rPr>
          <w:rFonts w:hint="default" w:ascii="Goudy Old Style" w:hAnsi="Goudy Old Style" w:cs="Goudy Old Style"/>
          <w:b/>
          <w:bCs/>
          <w:i/>
          <w:iCs/>
          <w:sz w:val="22"/>
          <w:szCs w:val="22"/>
        </w:rPr>
        <w:t>Figure 2. Respondents' Perception of Biomathematics in Biological Modeling</w:t>
      </w:r>
    </w:p>
    <w:p w14:paraId="6866E006">
      <w:pPr>
        <w:rPr>
          <w:rFonts w:hint="default" w:ascii="Goudy Old Style" w:hAnsi="Goudy Old Style" w:cs="Goudy Old Style"/>
          <w:b/>
          <w:bCs/>
          <w:sz w:val="22"/>
          <w:szCs w:val="22"/>
        </w:rPr>
      </w:pPr>
      <w:r>
        <w:rPr>
          <w:rFonts w:hint="default" w:ascii="Goudy Old Style" w:hAnsi="Goudy Old Style" w:cs="Goudy Old Style"/>
          <w:b/>
          <w:bCs/>
          <w:sz w:val="22"/>
          <w:szCs w:val="22"/>
        </w:rPr>
        <w:br w:type="page"/>
      </w:r>
    </w:p>
    <w:p w14:paraId="65AF4A2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space="720" w:num="1"/>
          <w:docGrid w:linePitch="360" w:charSpace="0"/>
        </w:sectPr>
      </w:pPr>
    </w:p>
    <w:p w14:paraId="610456E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Respondents' Perception of Artificial Intelligence in Biological Data Analysis</w:t>
      </w:r>
    </w:p>
    <w:p w14:paraId="7E875E6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This analysis presented the respondents' views about artificial intelligence in the analysis of biological and biomedical data.</w:t>
      </w:r>
    </w:p>
    <w:p w14:paraId="6058278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2A3E220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b/>
          <w:bCs/>
          <w:sz w:val="22"/>
          <w:szCs w:val="22"/>
        </w:rPr>
        <w:t>Table 3. Respondents' Perception of Artificial Intelligence in Biological Data Analysis</w:t>
      </w:r>
    </w:p>
    <w:tbl>
      <w:tblPr>
        <w:tblStyle w:val="12"/>
        <w:tblW w:w="0" w:type="auto"/>
        <w:tblCellSpacing w:w="15" w:type="dxa"/>
        <w:tblInd w:w="0" w:type="dxa"/>
        <w:tblLayout w:type="autofit"/>
        <w:tblCellMar>
          <w:top w:w="15" w:type="dxa"/>
          <w:left w:w="15" w:type="dxa"/>
          <w:bottom w:w="15" w:type="dxa"/>
          <w:right w:w="15" w:type="dxa"/>
        </w:tblCellMar>
      </w:tblPr>
      <w:tblGrid>
        <w:gridCol w:w="5993"/>
        <w:gridCol w:w="556"/>
        <w:gridCol w:w="1599"/>
        <w:gridCol w:w="1302"/>
      </w:tblGrid>
      <w:tr w14:paraId="468BBB1D">
        <w:tblPrEx>
          <w:tblCellMar>
            <w:top w:w="15" w:type="dxa"/>
            <w:left w:w="15" w:type="dxa"/>
            <w:bottom w:w="15" w:type="dxa"/>
            <w:right w:w="15" w:type="dxa"/>
          </w:tblCellMar>
        </w:tblPrEx>
        <w:trPr>
          <w:tblHeader/>
          <w:tblCellSpacing w:w="15" w:type="dxa"/>
        </w:trPr>
        <w:tc>
          <w:tcPr>
            <w:tcW w:w="0" w:type="auto"/>
            <w:tcBorders>
              <w:top w:val="single" w:color="auto" w:sz="4" w:space="0"/>
            </w:tcBorders>
            <w:vAlign w:val="center"/>
          </w:tcPr>
          <w:p w14:paraId="2CAC942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Statement</w:t>
            </w:r>
          </w:p>
        </w:tc>
        <w:tc>
          <w:tcPr>
            <w:tcW w:w="0" w:type="auto"/>
            <w:tcBorders>
              <w:top w:val="single" w:color="auto" w:sz="4" w:space="0"/>
            </w:tcBorders>
            <w:vAlign w:val="center"/>
          </w:tcPr>
          <w:p w14:paraId="73BC70A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Mean</w:t>
            </w:r>
          </w:p>
        </w:tc>
        <w:tc>
          <w:tcPr>
            <w:tcW w:w="0" w:type="auto"/>
            <w:tcBorders>
              <w:top w:val="single" w:color="auto" w:sz="4" w:space="0"/>
            </w:tcBorders>
            <w:vAlign w:val="center"/>
          </w:tcPr>
          <w:p w14:paraId="1F3BE59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Standard Deviation</w:t>
            </w:r>
          </w:p>
        </w:tc>
        <w:tc>
          <w:tcPr>
            <w:tcW w:w="0" w:type="auto"/>
            <w:tcBorders>
              <w:top w:val="single" w:color="auto" w:sz="4" w:space="0"/>
            </w:tcBorders>
            <w:vAlign w:val="center"/>
          </w:tcPr>
          <w:p w14:paraId="57E3504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Interpretation</w:t>
            </w:r>
          </w:p>
        </w:tc>
      </w:tr>
      <w:tr w14:paraId="3925B031">
        <w:tblPrEx>
          <w:tblCellMar>
            <w:top w:w="15" w:type="dxa"/>
            <w:left w:w="15" w:type="dxa"/>
            <w:bottom w:w="15" w:type="dxa"/>
            <w:right w:w="15" w:type="dxa"/>
          </w:tblCellMar>
        </w:tblPrEx>
        <w:trPr>
          <w:tblCellSpacing w:w="15" w:type="dxa"/>
        </w:trPr>
        <w:tc>
          <w:tcPr>
            <w:tcW w:w="0" w:type="auto"/>
            <w:vAlign w:val="center"/>
          </w:tcPr>
          <w:p w14:paraId="7996230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Artificial intelligence improved the analysis of large biological datasets.</w:t>
            </w:r>
          </w:p>
        </w:tc>
        <w:tc>
          <w:tcPr>
            <w:tcW w:w="0" w:type="auto"/>
            <w:vAlign w:val="center"/>
          </w:tcPr>
          <w:p w14:paraId="0FCA6EB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4.36</w:t>
            </w:r>
          </w:p>
        </w:tc>
        <w:tc>
          <w:tcPr>
            <w:tcW w:w="0" w:type="auto"/>
            <w:vAlign w:val="center"/>
          </w:tcPr>
          <w:p w14:paraId="6405BAD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0.61</w:t>
            </w:r>
          </w:p>
        </w:tc>
        <w:tc>
          <w:tcPr>
            <w:tcW w:w="0" w:type="auto"/>
            <w:vAlign w:val="center"/>
          </w:tcPr>
          <w:p w14:paraId="4ADDC6F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0A8A7CC6">
        <w:tblPrEx>
          <w:tblCellMar>
            <w:top w:w="15" w:type="dxa"/>
            <w:left w:w="15" w:type="dxa"/>
            <w:bottom w:w="15" w:type="dxa"/>
            <w:right w:w="15" w:type="dxa"/>
          </w:tblCellMar>
        </w:tblPrEx>
        <w:trPr>
          <w:tblCellSpacing w:w="15" w:type="dxa"/>
        </w:trPr>
        <w:tc>
          <w:tcPr>
            <w:tcW w:w="0" w:type="auto"/>
            <w:vAlign w:val="center"/>
          </w:tcPr>
          <w:p w14:paraId="75E51AD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Machine learning helped in identifying hidden patterns in biological data.</w:t>
            </w:r>
          </w:p>
        </w:tc>
        <w:tc>
          <w:tcPr>
            <w:tcW w:w="0" w:type="auto"/>
            <w:vAlign w:val="center"/>
          </w:tcPr>
          <w:p w14:paraId="7142CE0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4.28</w:t>
            </w:r>
          </w:p>
        </w:tc>
        <w:tc>
          <w:tcPr>
            <w:tcW w:w="0" w:type="auto"/>
            <w:vAlign w:val="center"/>
          </w:tcPr>
          <w:p w14:paraId="2AE666A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0.68</w:t>
            </w:r>
          </w:p>
        </w:tc>
        <w:tc>
          <w:tcPr>
            <w:tcW w:w="0" w:type="auto"/>
            <w:vAlign w:val="center"/>
          </w:tcPr>
          <w:p w14:paraId="63FD614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0307DFB9">
        <w:tblPrEx>
          <w:tblCellMar>
            <w:top w:w="15" w:type="dxa"/>
            <w:left w:w="15" w:type="dxa"/>
            <w:bottom w:w="15" w:type="dxa"/>
            <w:right w:w="15" w:type="dxa"/>
          </w:tblCellMar>
        </w:tblPrEx>
        <w:trPr>
          <w:tblCellSpacing w:w="15" w:type="dxa"/>
        </w:trPr>
        <w:tc>
          <w:tcPr>
            <w:tcW w:w="0" w:type="auto"/>
            <w:vAlign w:val="center"/>
          </w:tcPr>
          <w:p w14:paraId="7DE17B7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Deep learning supports image-based diagnosis and biomedical classification.</w:t>
            </w:r>
          </w:p>
        </w:tc>
        <w:tc>
          <w:tcPr>
            <w:tcW w:w="0" w:type="auto"/>
            <w:vAlign w:val="center"/>
          </w:tcPr>
          <w:p w14:paraId="4E496AC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4.16</w:t>
            </w:r>
          </w:p>
        </w:tc>
        <w:tc>
          <w:tcPr>
            <w:tcW w:w="0" w:type="auto"/>
            <w:vAlign w:val="center"/>
          </w:tcPr>
          <w:p w14:paraId="71922E2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0.75</w:t>
            </w:r>
          </w:p>
        </w:tc>
        <w:tc>
          <w:tcPr>
            <w:tcW w:w="0" w:type="auto"/>
            <w:vAlign w:val="center"/>
          </w:tcPr>
          <w:p w14:paraId="1000A00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1967F672">
        <w:tblPrEx>
          <w:tblCellMar>
            <w:top w:w="15" w:type="dxa"/>
            <w:left w:w="15" w:type="dxa"/>
            <w:bottom w:w="15" w:type="dxa"/>
            <w:right w:w="15" w:type="dxa"/>
          </w:tblCellMar>
        </w:tblPrEx>
        <w:trPr>
          <w:tblCellSpacing w:w="15" w:type="dxa"/>
        </w:trPr>
        <w:tc>
          <w:tcPr>
            <w:tcW w:w="0" w:type="auto"/>
            <w:vAlign w:val="center"/>
          </w:tcPr>
          <w:p w14:paraId="601E720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AI tools improved prediction in genomics, bioinformatics, and disease modeling.</w:t>
            </w:r>
          </w:p>
        </w:tc>
        <w:tc>
          <w:tcPr>
            <w:tcW w:w="0" w:type="auto"/>
            <w:vAlign w:val="center"/>
          </w:tcPr>
          <w:p w14:paraId="0B087A3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4.24</w:t>
            </w:r>
          </w:p>
        </w:tc>
        <w:tc>
          <w:tcPr>
            <w:tcW w:w="0" w:type="auto"/>
            <w:vAlign w:val="center"/>
          </w:tcPr>
          <w:p w14:paraId="5F4659E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0.70</w:t>
            </w:r>
          </w:p>
        </w:tc>
        <w:tc>
          <w:tcPr>
            <w:tcW w:w="0" w:type="auto"/>
            <w:vAlign w:val="center"/>
          </w:tcPr>
          <w:p w14:paraId="28F3509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1179E742">
        <w:tblPrEx>
          <w:tblCellMar>
            <w:top w:w="15" w:type="dxa"/>
            <w:left w:w="15" w:type="dxa"/>
            <w:bottom w:w="15" w:type="dxa"/>
            <w:right w:w="15" w:type="dxa"/>
          </w:tblCellMar>
        </w:tblPrEx>
        <w:trPr>
          <w:tblCellSpacing w:w="15" w:type="dxa"/>
        </w:trPr>
        <w:tc>
          <w:tcPr>
            <w:tcW w:w="0" w:type="auto"/>
            <w:tcBorders>
              <w:bottom w:val="single" w:color="auto" w:sz="4" w:space="0"/>
            </w:tcBorders>
            <w:vAlign w:val="center"/>
          </w:tcPr>
          <w:p w14:paraId="4466265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Artificial intelligence reduced the time required to interpret biological data.</w:t>
            </w:r>
          </w:p>
        </w:tc>
        <w:tc>
          <w:tcPr>
            <w:tcW w:w="0" w:type="auto"/>
            <w:tcBorders>
              <w:bottom w:val="single" w:color="auto" w:sz="4" w:space="0"/>
            </w:tcBorders>
            <w:vAlign w:val="center"/>
          </w:tcPr>
          <w:p w14:paraId="1DDAAB6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4.09</w:t>
            </w:r>
          </w:p>
        </w:tc>
        <w:tc>
          <w:tcPr>
            <w:tcW w:w="0" w:type="auto"/>
            <w:tcBorders>
              <w:bottom w:val="single" w:color="auto" w:sz="4" w:space="0"/>
            </w:tcBorders>
            <w:vAlign w:val="center"/>
          </w:tcPr>
          <w:p w14:paraId="68EE84A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0.83</w:t>
            </w:r>
          </w:p>
        </w:tc>
        <w:tc>
          <w:tcPr>
            <w:tcW w:w="0" w:type="auto"/>
            <w:tcBorders>
              <w:bottom w:val="single" w:color="auto" w:sz="4" w:space="0"/>
            </w:tcBorders>
            <w:vAlign w:val="center"/>
          </w:tcPr>
          <w:p w14:paraId="2163ECA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bl>
    <w:p w14:paraId="15E5493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sectPr>
          <w:type w:val="continuous"/>
          <w:pgSz w:w="12240" w:h="15840"/>
          <w:pgMar w:top="1440" w:right="1440" w:bottom="1440" w:left="1440" w:header="720" w:footer="720" w:gutter="0"/>
          <w:pgNumType w:fmt="decimal"/>
          <w:cols w:space="720" w:num="1"/>
          <w:docGrid w:linePitch="360" w:charSpace="0"/>
        </w:sectPr>
      </w:pPr>
    </w:p>
    <w:p w14:paraId="0CA991B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Table 3 presents the results for those who strongly agreed with the importance of Artificial Intelligence (AI) in biological data analysis. The Maximum average score was recorded in the answer to the question, AI helped the study of large bio data be better. The key machine learning methods considered suitable for biological data analysis were rated an average of 4.28. Respondents knew that machine learning could be useful to uncover relationships that are not apparent in traditional analysis. They include patterns of gene expression and disease markers, as well as patterns of protein interaction, and it was recognized that AI tools might be able to identify these patterns. The findings also provided strong consensus on the contributions of deep learning, predictive abilities, and time efficiency. Genomics, bioinformatics, and disease modeling had high trust scores (4.24, 4.15, and 4.32) for AI-based approaches.</w:t>
      </w:r>
    </w:p>
    <w:p w14:paraId="0B404F9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6048D36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drawing>
          <wp:inline distT="0" distB="0" distL="0" distR="0">
            <wp:extent cx="5943600" cy="3009265"/>
            <wp:effectExtent l="0" t="0" r="0" b="635"/>
            <wp:docPr id="740322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22168" name="Picture 3"/>
                    <pic:cNvPicPr>
                      <a:picLocks noChangeAspect="1"/>
                    </pic:cNvPicPr>
                  </pic:nvPicPr>
                  <pic:blipFill>
                    <a:blip r:embed="rId10">
                      <a:extLst>
                        <a:ext uri="{28A0092B-C50C-407E-A947-70E740481C1C}">
                          <a14:useLocalDpi xmlns:a14="http://schemas.microsoft.com/office/drawing/2010/main" val="0"/>
                        </a:ext>
                      </a:extLst>
                    </a:blip>
                    <a:srcRect t="4002" b="30891"/>
                    <a:stretch>
                      <a:fillRect/>
                    </a:stretch>
                  </pic:blipFill>
                  <pic:spPr>
                    <a:xfrm>
                      <a:off x="0" y="0"/>
                      <a:ext cx="5943600" cy="3009265"/>
                    </a:xfrm>
                    <a:prstGeom prst="rect">
                      <a:avLst/>
                    </a:prstGeom>
                  </pic:spPr>
                </pic:pic>
              </a:graphicData>
            </a:graphic>
          </wp:inline>
        </w:drawing>
      </w:r>
    </w:p>
    <w:p w14:paraId="64E3FFA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b/>
          <w:bCs/>
          <w:i/>
          <w:iCs/>
          <w:sz w:val="22"/>
          <w:szCs w:val="22"/>
        </w:rPr>
      </w:pPr>
      <w:r>
        <w:rPr>
          <w:rFonts w:hint="default" w:ascii="Goudy Old Style" w:hAnsi="Goudy Old Style" w:cs="Goudy Old Style"/>
          <w:b/>
          <w:bCs/>
          <w:i/>
          <w:iCs/>
          <w:sz w:val="22"/>
          <w:szCs w:val="22"/>
        </w:rPr>
        <w:t>Figure 3. Respondents' Perception of Artificial Intelligence in Biological Data Analysis</w:t>
      </w:r>
    </w:p>
    <w:p w14:paraId="3CABFC54">
      <w:pPr>
        <w:rPr>
          <w:rFonts w:hint="default" w:ascii="Goudy Old Style" w:hAnsi="Goudy Old Style" w:cs="Goudy Old Style"/>
          <w:b/>
          <w:bCs/>
          <w:sz w:val="22"/>
          <w:szCs w:val="22"/>
        </w:rPr>
      </w:pPr>
      <w:r>
        <w:rPr>
          <w:rFonts w:hint="default" w:ascii="Goudy Old Style" w:hAnsi="Goudy Old Style" w:cs="Goudy Old Style"/>
          <w:b/>
          <w:bCs/>
          <w:sz w:val="22"/>
          <w:szCs w:val="22"/>
        </w:rPr>
        <w:br w:type="page"/>
      </w:r>
    </w:p>
    <w:p w14:paraId="51E6073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space="720" w:num="1"/>
          <w:docGrid w:linePitch="360" w:charSpace="0"/>
        </w:sectPr>
      </w:pPr>
    </w:p>
    <w:p w14:paraId="19D3513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Integration of Biomathematics and Artificial Intelligence</w:t>
      </w:r>
    </w:p>
    <w:p w14:paraId="5AE01AA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This table analyzed the respondents' views on combining mathematical modeling with artificial intelligence. </w:t>
      </w:r>
    </w:p>
    <w:p w14:paraId="4838313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5618C86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72763C5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626C3B4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b/>
          <w:bCs/>
          <w:sz w:val="22"/>
          <w:szCs w:val="22"/>
        </w:rPr>
        <w:t>Table 4. Integration of Biomathematics and Artificial Intelligence in Complex Biological Systems</w:t>
      </w:r>
    </w:p>
    <w:tbl>
      <w:tblPr>
        <w:tblStyle w:val="12"/>
        <w:tblW w:w="5000" w:type="pct"/>
        <w:tblCellSpacing w:w="15" w:type="dxa"/>
        <w:tblInd w:w="0" w:type="dxa"/>
        <w:tblLayout w:type="autofit"/>
        <w:tblCellMar>
          <w:top w:w="15" w:type="dxa"/>
          <w:left w:w="15" w:type="dxa"/>
          <w:bottom w:w="15" w:type="dxa"/>
          <w:right w:w="15" w:type="dxa"/>
        </w:tblCellMar>
      </w:tblPr>
      <w:tblGrid>
        <w:gridCol w:w="6021"/>
        <w:gridCol w:w="567"/>
        <w:gridCol w:w="1510"/>
        <w:gridCol w:w="1352"/>
      </w:tblGrid>
      <w:tr w14:paraId="12C8D5AC">
        <w:tblPrEx>
          <w:tblCellMar>
            <w:top w:w="15" w:type="dxa"/>
            <w:left w:w="15" w:type="dxa"/>
            <w:bottom w:w="15" w:type="dxa"/>
            <w:right w:w="15" w:type="dxa"/>
          </w:tblCellMar>
        </w:tblPrEx>
        <w:trPr>
          <w:tblHeader/>
          <w:tblCellSpacing w:w="15" w:type="dxa"/>
        </w:trPr>
        <w:tc>
          <w:tcPr>
            <w:tcW w:w="3161" w:type="pct"/>
            <w:tcBorders>
              <w:top w:val="single" w:color="auto" w:sz="4" w:space="0"/>
              <w:bottom w:val="single" w:color="auto" w:sz="4" w:space="0"/>
            </w:tcBorders>
            <w:vAlign w:val="center"/>
          </w:tcPr>
          <w:p w14:paraId="6D2C251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Statement</w:t>
            </w:r>
          </w:p>
        </w:tc>
        <w:tc>
          <w:tcPr>
            <w:tcW w:w="284" w:type="pct"/>
            <w:tcBorders>
              <w:top w:val="single" w:color="auto" w:sz="4" w:space="0"/>
              <w:bottom w:val="single" w:color="auto" w:sz="4" w:space="0"/>
            </w:tcBorders>
            <w:vAlign w:val="center"/>
          </w:tcPr>
          <w:p w14:paraId="5197793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Mean</w:t>
            </w:r>
          </w:p>
        </w:tc>
        <w:tc>
          <w:tcPr>
            <w:tcW w:w="783" w:type="pct"/>
            <w:tcBorders>
              <w:top w:val="single" w:color="auto" w:sz="4" w:space="0"/>
              <w:bottom w:val="single" w:color="auto" w:sz="4" w:space="0"/>
            </w:tcBorders>
            <w:vAlign w:val="center"/>
          </w:tcPr>
          <w:p w14:paraId="3B12CE2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Standard Deviation</w:t>
            </w:r>
          </w:p>
        </w:tc>
        <w:tc>
          <w:tcPr>
            <w:tcW w:w="691" w:type="pct"/>
            <w:tcBorders>
              <w:top w:val="single" w:color="auto" w:sz="4" w:space="0"/>
              <w:bottom w:val="single" w:color="auto" w:sz="4" w:space="0"/>
            </w:tcBorders>
            <w:vAlign w:val="center"/>
          </w:tcPr>
          <w:p w14:paraId="5B7AD84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Interpretation</w:t>
            </w:r>
          </w:p>
        </w:tc>
      </w:tr>
      <w:tr w14:paraId="495AC650">
        <w:tblPrEx>
          <w:tblCellMar>
            <w:top w:w="15" w:type="dxa"/>
            <w:left w:w="15" w:type="dxa"/>
            <w:bottom w:w="15" w:type="dxa"/>
            <w:right w:w="15" w:type="dxa"/>
          </w:tblCellMar>
        </w:tblPrEx>
        <w:trPr>
          <w:tblCellSpacing w:w="15" w:type="dxa"/>
        </w:trPr>
        <w:tc>
          <w:tcPr>
            <w:tcW w:w="3161" w:type="pct"/>
            <w:vAlign w:val="center"/>
          </w:tcPr>
          <w:p w14:paraId="3DB9D6D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The integration of biomathematics and AI improved model accuracy.</w:t>
            </w:r>
          </w:p>
        </w:tc>
        <w:tc>
          <w:tcPr>
            <w:tcW w:w="284" w:type="pct"/>
            <w:vAlign w:val="center"/>
          </w:tcPr>
          <w:p w14:paraId="1D73C82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4.27</w:t>
            </w:r>
          </w:p>
        </w:tc>
        <w:tc>
          <w:tcPr>
            <w:tcW w:w="783" w:type="pct"/>
            <w:vAlign w:val="center"/>
          </w:tcPr>
          <w:p w14:paraId="7DD2560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0.64</w:t>
            </w:r>
          </w:p>
        </w:tc>
        <w:tc>
          <w:tcPr>
            <w:tcW w:w="691" w:type="pct"/>
            <w:vAlign w:val="center"/>
          </w:tcPr>
          <w:p w14:paraId="093B774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2725634C">
        <w:tblPrEx>
          <w:tblCellMar>
            <w:top w:w="15" w:type="dxa"/>
            <w:left w:w="15" w:type="dxa"/>
            <w:bottom w:w="15" w:type="dxa"/>
            <w:right w:w="15" w:type="dxa"/>
          </w:tblCellMar>
        </w:tblPrEx>
        <w:trPr>
          <w:tblCellSpacing w:w="15" w:type="dxa"/>
        </w:trPr>
        <w:tc>
          <w:tcPr>
            <w:tcW w:w="3161" w:type="pct"/>
            <w:vAlign w:val="center"/>
          </w:tcPr>
          <w:p w14:paraId="3A76D2C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Hybrid mathematical-AI models explained biological systems better than single-method models.</w:t>
            </w:r>
          </w:p>
        </w:tc>
        <w:tc>
          <w:tcPr>
            <w:tcW w:w="284" w:type="pct"/>
            <w:vAlign w:val="center"/>
          </w:tcPr>
          <w:p w14:paraId="7B806BA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4.19</w:t>
            </w:r>
          </w:p>
        </w:tc>
        <w:tc>
          <w:tcPr>
            <w:tcW w:w="783" w:type="pct"/>
            <w:vAlign w:val="center"/>
          </w:tcPr>
          <w:p w14:paraId="08AF370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0.73</w:t>
            </w:r>
          </w:p>
        </w:tc>
        <w:tc>
          <w:tcPr>
            <w:tcW w:w="691" w:type="pct"/>
            <w:vAlign w:val="center"/>
          </w:tcPr>
          <w:p w14:paraId="44DE81C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3132E5BB">
        <w:tblPrEx>
          <w:tblCellMar>
            <w:top w:w="15" w:type="dxa"/>
            <w:left w:w="15" w:type="dxa"/>
            <w:bottom w:w="15" w:type="dxa"/>
            <w:right w:w="15" w:type="dxa"/>
          </w:tblCellMar>
        </w:tblPrEx>
        <w:trPr>
          <w:tblCellSpacing w:w="15" w:type="dxa"/>
        </w:trPr>
        <w:tc>
          <w:tcPr>
            <w:tcW w:w="3161" w:type="pct"/>
            <w:vAlign w:val="center"/>
          </w:tcPr>
          <w:p w14:paraId="605F105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AI-supported parameter estimation in mathematical biological models.</w:t>
            </w:r>
          </w:p>
        </w:tc>
        <w:tc>
          <w:tcPr>
            <w:tcW w:w="284" w:type="pct"/>
            <w:vAlign w:val="center"/>
          </w:tcPr>
          <w:p w14:paraId="3A026FC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4.06</w:t>
            </w:r>
          </w:p>
        </w:tc>
        <w:tc>
          <w:tcPr>
            <w:tcW w:w="783" w:type="pct"/>
            <w:vAlign w:val="center"/>
          </w:tcPr>
          <w:p w14:paraId="0A8742D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0.79</w:t>
            </w:r>
          </w:p>
        </w:tc>
        <w:tc>
          <w:tcPr>
            <w:tcW w:w="691" w:type="pct"/>
            <w:vAlign w:val="center"/>
          </w:tcPr>
          <w:p w14:paraId="021D181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669D69ED">
        <w:tblPrEx>
          <w:tblCellMar>
            <w:top w:w="15" w:type="dxa"/>
            <w:left w:w="15" w:type="dxa"/>
            <w:bottom w:w="15" w:type="dxa"/>
            <w:right w:w="15" w:type="dxa"/>
          </w:tblCellMar>
        </w:tblPrEx>
        <w:trPr>
          <w:tblCellSpacing w:w="15" w:type="dxa"/>
        </w:trPr>
        <w:tc>
          <w:tcPr>
            <w:tcW w:w="3161" w:type="pct"/>
            <w:vAlign w:val="center"/>
          </w:tcPr>
          <w:p w14:paraId="08A3FE9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Mathematical AI models supported personalized medicine and treatment planning.</w:t>
            </w:r>
          </w:p>
        </w:tc>
        <w:tc>
          <w:tcPr>
            <w:tcW w:w="284" w:type="pct"/>
            <w:vAlign w:val="center"/>
          </w:tcPr>
          <w:p w14:paraId="1669E40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4.21</w:t>
            </w:r>
          </w:p>
        </w:tc>
        <w:tc>
          <w:tcPr>
            <w:tcW w:w="783" w:type="pct"/>
            <w:vAlign w:val="center"/>
          </w:tcPr>
          <w:p w14:paraId="775DDB3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0.71</w:t>
            </w:r>
          </w:p>
        </w:tc>
        <w:tc>
          <w:tcPr>
            <w:tcW w:w="691" w:type="pct"/>
            <w:vAlign w:val="center"/>
          </w:tcPr>
          <w:p w14:paraId="66AF1AA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60F691C3">
        <w:tblPrEx>
          <w:tblCellMar>
            <w:top w:w="15" w:type="dxa"/>
            <w:left w:w="15" w:type="dxa"/>
            <w:bottom w:w="15" w:type="dxa"/>
            <w:right w:w="15" w:type="dxa"/>
          </w:tblCellMar>
        </w:tblPrEx>
        <w:trPr>
          <w:tblCellSpacing w:w="15" w:type="dxa"/>
        </w:trPr>
        <w:tc>
          <w:tcPr>
            <w:tcW w:w="3161" w:type="pct"/>
            <w:tcBorders>
              <w:bottom w:val="single" w:color="auto" w:sz="4" w:space="0"/>
            </w:tcBorders>
            <w:vAlign w:val="center"/>
          </w:tcPr>
          <w:p w14:paraId="3FF5A85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Digital twin models became more useful when mathematical modeling and AI were combined.</w:t>
            </w:r>
          </w:p>
        </w:tc>
        <w:tc>
          <w:tcPr>
            <w:tcW w:w="284" w:type="pct"/>
            <w:tcBorders>
              <w:bottom w:val="single" w:color="auto" w:sz="4" w:space="0"/>
            </w:tcBorders>
            <w:vAlign w:val="center"/>
          </w:tcPr>
          <w:p w14:paraId="4E47625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4.25</w:t>
            </w:r>
          </w:p>
        </w:tc>
        <w:tc>
          <w:tcPr>
            <w:tcW w:w="783" w:type="pct"/>
            <w:tcBorders>
              <w:bottom w:val="single" w:color="auto" w:sz="4" w:space="0"/>
            </w:tcBorders>
            <w:vAlign w:val="center"/>
          </w:tcPr>
          <w:p w14:paraId="2393F2C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0.67</w:t>
            </w:r>
          </w:p>
        </w:tc>
        <w:tc>
          <w:tcPr>
            <w:tcW w:w="691" w:type="pct"/>
            <w:tcBorders>
              <w:bottom w:val="single" w:color="auto" w:sz="4" w:space="0"/>
            </w:tcBorders>
            <w:vAlign w:val="center"/>
          </w:tcPr>
          <w:p w14:paraId="7DD49F7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bl>
    <w:p w14:paraId="5DCAE6B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space="720" w:num="1"/>
          <w:docGrid w:linePitch="360" w:charSpace="0"/>
        </w:sectPr>
      </w:pPr>
    </w:p>
    <w:p w14:paraId="6E42D7A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From Table 4, it can be seen that the respondents were positive about the integration of biomathematics and artificial intelligence. The item with an integration that increased the model's accuracy had the highest mean of 4.27. The second statement about "Digital Twin Models" had a mean rating of 4.25, indicating strong agreement. The results show that the respondents have even recognized the importance of mathematical or AI models in creating digital representations of biological systems. Digital Twins were found useful for Simulation, Prediction, and Patient-Specific Analysis in current practices in healthcare and biosciences. The results further showed that blended mathematical-AI models were more likely to agree in describing biological systems than were mathematical and AI models alone. The average obtained score was 4.19, indicating high agreement. This discovery indicated that the respondents knew that one could use either mathematical equations or AI. Mathematical models, AI-empowered prediction, and data processing were used to add biological explanations.</w:t>
      </w:r>
    </w:p>
    <w:p w14:paraId="20248EF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15581E8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sz w:val="22"/>
          <w:szCs w:val="22"/>
        </w:rPr>
      </w:pPr>
      <w:r>
        <w:rPr>
          <w:rFonts w:hint="default" w:ascii="Goudy Old Style" w:hAnsi="Goudy Old Style" w:cs="Goudy Old Style"/>
          <w:sz w:val="22"/>
          <w:szCs w:val="22"/>
        </w:rPr>
        <w:drawing>
          <wp:inline distT="0" distB="0" distL="0" distR="0">
            <wp:extent cx="5943600" cy="4207510"/>
            <wp:effectExtent l="0" t="0" r="0" b="2540"/>
            <wp:docPr id="2128733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33153" name="Picture 4"/>
                    <pic:cNvPicPr>
                      <a:picLocks noChangeAspect="1"/>
                    </pic:cNvPicPr>
                  </pic:nvPicPr>
                  <pic:blipFill>
                    <a:blip r:embed="rId11" cstate="print">
                      <a:extLst>
                        <a:ext uri="{28A0092B-C50C-407E-A947-70E740481C1C}">
                          <a14:useLocalDpi xmlns:a14="http://schemas.microsoft.com/office/drawing/2010/main" val="0"/>
                        </a:ext>
                      </a:extLst>
                    </a:blip>
                    <a:srcRect t="5613"/>
                    <a:stretch>
                      <a:fillRect/>
                    </a:stretch>
                  </pic:blipFill>
                  <pic:spPr>
                    <a:xfrm>
                      <a:off x="0" y="0"/>
                      <a:ext cx="5943600" cy="4207510"/>
                    </a:xfrm>
                    <a:prstGeom prst="rect">
                      <a:avLst/>
                    </a:prstGeom>
                  </pic:spPr>
                </pic:pic>
              </a:graphicData>
            </a:graphic>
          </wp:inline>
        </w:drawing>
      </w:r>
    </w:p>
    <w:p w14:paraId="7096DFA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b/>
          <w:bCs/>
          <w:i/>
          <w:iCs/>
          <w:sz w:val="22"/>
          <w:szCs w:val="22"/>
        </w:rPr>
      </w:pPr>
      <w:r>
        <w:rPr>
          <w:rFonts w:hint="default" w:ascii="Goudy Old Style" w:hAnsi="Goudy Old Style" w:cs="Goudy Old Style"/>
          <w:b/>
          <w:bCs/>
          <w:i/>
          <w:iCs/>
          <w:sz w:val="22"/>
          <w:szCs w:val="22"/>
        </w:rPr>
        <w:t>Figure 4. Integration of Biomathematics and Artificial Intelligence in Complex Biological Systems</w:t>
      </w:r>
    </w:p>
    <w:p w14:paraId="77B31B8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space="720" w:num="1"/>
          <w:docGrid w:linePitch="360" w:charSpace="0"/>
        </w:sectPr>
      </w:pPr>
    </w:p>
    <w:p w14:paraId="670EEAA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Challenges in Mathematical-AI Biological Modeling</w:t>
      </w:r>
    </w:p>
    <w:p w14:paraId="424BD7C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This analysis presented the challenges related to the use of biomathematics and artificial intelligence in biological modeling. </w:t>
      </w:r>
    </w:p>
    <w:p w14:paraId="6263AAC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64F4E14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4D8F1E8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72A1334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b/>
          <w:bCs/>
          <w:sz w:val="22"/>
          <w:szCs w:val="22"/>
        </w:rPr>
        <w:t>Table 5. Challenges in Mathematical-AI Biological Modeling</w:t>
      </w:r>
    </w:p>
    <w:tbl>
      <w:tblPr>
        <w:tblStyle w:val="12"/>
        <w:tblW w:w="0" w:type="auto"/>
        <w:tblCellSpacing w:w="15" w:type="dxa"/>
        <w:tblInd w:w="0" w:type="dxa"/>
        <w:tblLayout w:type="autofit"/>
        <w:tblCellMar>
          <w:top w:w="15" w:type="dxa"/>
          <w:left w:w="15" w:type="dxa"/>
          <w:bottom w:w="15" w:type="dxa"/>
          <w:right w:w="15" w:type="dxa"/>
        </w:tblCellMar>
      </w:tblPr>
      <w:tblGrid>
        <w:gridCol w:w="5555"/>
        <w:gridCol w:w="556"/>
        <w:gridCol w:w="1762"/>
        <w:gridCol w:w="1302"/>
      </w:tblGrid>
      <w:tr w14:paraId="4DA4F147">
        <w:tblPrEx>
          <w:tblCellMar>
            <w:top w:w="15" w:type="dxa"/>
            <w:left w:w="15" w:type="dxa"/>
            <w:bottom w:w="15" w:type="dxa"/>
            <w:right w:w="15" w:type="dxa"/>
          </w:tblCellMar>
        </w:tblPrEx>
        <w:trPr>
          <w:tblHeader/>
          <w:tblCellSpacing w:w="15" w:type="dxa"/>
        </w:trPr>
        <w:tc>
          <w:tcPr>
            <w:tcW w:w="5510" w:type="dxa"/>
            <w:tcBorders>
              <w:top w:val="single" w:color="auto" w:sz="4" w:space="0"/>
              <w:bottom w:val="single" w:color="auto" w:sz="4" w:space="0"/>
            </w:tcBorders>
            <w:vAlign w:val="center"/>
          </w:tcPr>
          <w:p w14:paraId="2D39D42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Statement</w:t>
            </w:r>
          </w:p>
        </w:tc>
        <w:tc>
          <w:tcPr>
            <w:tcW w:w="0" w:type="auto"/>
            <w:tcBorders>
              <w:top w:val="single" w:color="auto" w:sz="4" w:space="0"/>
              <w:bottom w:val="single" w:color="auto" w:sz="4" w:space="0"/>
            </w:tcBorders>
            <w:vAlign w:val="center"/>
          </w:tcPr>
          <w:p w14:paraId="1E8DE65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Mean</w:t>
            </w:r>
          </w:p>
        </w:tc>
        <w:tc>
          <w:tcPr>
            <w:tcW w:w="0" w:type="auto"/>
            <w:tcBorders>
              <w:top w:val="single" w:color="auto" w:sz="4" w:space="0"/>
              <w:bottom w:val="single" w:color="auto" w:sz="4" w:space="0"/>
            </w:tcBorders>
            <w:vAlign w:val="center"/>
          </w:tcPr>
          <w:p w14:paraId="44CB6F1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Standard Deviation</w:t>
            </w:r>
          </w:p>
        </w:tc>
        <w:tc>
          <w:tcPr>
            <w:tcW w:w="0" w:type="auto"/>
            <w:tcBorders>
              <w:top w:val="single" w:color="auto" w:sz="4" w:space="0"/>
              <w:bottom w:val="single" w:color="auto" w:sz="4" w:space="0"/>
            </w:tcBorders>
            <w:vAlign w:val="center"/>
          </w:tcPr>
          <w:p w14:paraId="4B711E5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Interpretation</w:t>
            </w:r>
          </w:p>
        </w:tc>
      </w:tr>
      <w:tr w14:paraId="74D60A54">
        <w:tblPrEx>
          <w:tblCellMar>
            <w:top w:w="15" w:type="dxa"/>
            <w:left w:w="15" w:type="dxa"/>
            <w:bottom w:w="15" w:type="dxa"/>
            <w:right w:w="15" w:type="dxa"/>
          </w:tblCellMar>
        </w:tblPrEx>
        <w:trPr>
          <w:tblCellSpacing w:w="15" w:type="dxa"/>
        </w:trPr>
        <w:tc>
          <w:tcPr>
            <w:tcW w:w="5510" w:type="dxa"/>
            <w:vAlign w:val="center"/>
          </w:tcPr>
          <w:p w14:paraId="4BC9013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Poor data quality affected the accuracy of biological AI models.</w:t>
            </w:r>
          </w:p>
        </w:tc>
        <w:tc>
          <w:tcPr>
            <w:tcW w:w="0" w:type="auto"/>
            <w:vAlign w:val="center"/>
          </w:tcPr>
          <w:p w14:paraId="793F8AD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4.33</w:t>
            </w:r>
          </w:p>
        </w:tc>
        <w:tc>
          <w:tcPr>
            <w:tcW w:w="0" w:type="auto"/>
            <w:vAlign w:val="center"/>
          </w:tcPr>
          <w:p w14:paraId="15BD61D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0.62</w:t>
            </w:r>
          </w:p>
        </w:tc>
        <w:tc>
          <w:tcPr>
            <w:tcW w:w="0" w:type="auto"/>
            <w:vAlign w:val="center"/>
          </w:tcPr>
          <w:p w14:paraId="1D5F874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6641224E">
        <w:tblPrEx>
          <w:tblCellMar>
            <w:top w:w="15" w:type="dxa"/>
            <w:left w:w="15" w:type="dxa"/>
            <w:bottom w:w="15" w:type="dxa"/>
            <w:right w:w="15" w:type="dxa"/>
          </w:tblCellMar>
        </w:tblPrEx>
        <w:trPr>
          <w:tblCellSpacing w:w="15" w:type="dxa"/>
        </w:trPr>
        <w:tc>
          <w:tcPr>
            <w:tcW w:w="5510" w:type="dxa"/>
            <w:vAlign w:val="center"/>
          </w:tcPr>
          <w:p w14:paraId="525740A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Complex mathematical models were difficult for non-specialists to understand.</w:t>
            </w:r>
          </w:p>
        </w:tc>
        <w:tc>
          <w:tcPr>
            <w:tcW w:w="0" w:type="auto"/>
            <w:vAlign w:val="center"/>
          </w:tcPr>
          <w:p w14:paraId="78586EE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4.15</w:t>
            </w:r>
          </w:p>
        </w:tc>
        <w:tc>
          <w:tcPr>
            <w:tcW w:w="0" w:type="auto"/>
            <w:vAlign w:val="center"/>
          </w:tcPr>
          <w:p w14:paraId="73A2A59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0.77</w:t>
            </w:r>
          </w:p>
        </w:tc>
        <w:tc>
          <w:tcPr>
            <w:tcW w:w="0" w:type="auto"/>
            <w:vAlign w:val="center"/>
          </w:tcPr>
          <w:p w14:paraId="41B8B69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46568382">
        <w:tblPrEx>
          <w:tblCellMar>
            <w:top w:w="15" w:type="dxa"/>
            <w:left w:w="15" w:type="dxa"/>
            <w:bottom w:w="15" w:type="dxa"/>
            <w:right w:w="15" w:type="dxa"/>
          </w:tblCellMar>
        </w:tblPrEx>
        <w:trPr>
          <w:tblCellSpacing w:w="15" w:type="dxa"/>
        </w:trPr>
        <w:tc>
          <w:tcPr>
            <w:tcW w:w="5510" w:type="dxa"/>
            <w:vAlign w:val="center"/>
          </w:tcPr>
          <w:p w14:paraId="6BCE02A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AI models sometimes lacked clear biological interpretation.</w:t>
            </w:r>
          </w:p>
        </w:tc>
        <w:tc>
          <w:tcPr>
            <w:tcW w:w="0" w:type="auto"/>
            <w:vAlign w:val="center"/>
          </w:tcPr>
          <w:p w14:paraId="59494F6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4.29</w:t>
            </w:r>
          </w:p>
        </w:tc>
        <w:tc>
          <w:tcPr>
            <w:tcW w:w="0" w:type="auto"/>
            <w:vAlign w:val="center"/>
          </w:tcPr>
          <w:p w14:paraId="6C7746C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0.66</w:t>
            </w:r>
          </w:p>
        </w:tc>
        <w:tc>
          <w:tcPr>
            <w:tcW w:w="0" w:type="auto"/>
            <w:vAlign w:val="center"/>
          </w:tcPr>
          <w:p w14:paraId="36E33AE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4198A2F4">
        <w:tblPrEx>
          <w:tblCellMar>
            <w:top w:w="15" w:type="dxa"/>
            <w:left w:w="15" w:type="dxa"/>
            <w:bottom w:w="15" w:type="dxa"/>
            <w:right w:w="15" w:type="dxa"/>
          </w:tblCellMar>
        </w:tblPrEx>
        <w:trPr>
          <w:tblCellSpacing w:w="15" w:type="dxa"/>
        </w:trPr>
        <w:tc>
          <w:tcPr>
            <w:tcW w:w="5510" w:type="dxa"/>
            <w:vAlign w:val="center"/>
          </w:tcPr>
          <w:p w14:paraId="7FFFEDC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Ethical concerns existed in the use of biological and medical data.</w:t>
            </w:r>
          </w:p>
        </w:tc>
        <w:tc>
          <w:tcPr>
            <w:tcW w:w="0" w:type="auto"/>
            <w:vAlign w:val="center"/>
          </w:tcPr>
          <w:p w14:paraId="185236E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4.18</w:t>
            </w:r>
          </w:p>
        </w:tc>
        <w:tc>
          <w:tcPr>
            <w:tcW w:w="0" w:type="auto"/>
            <w:vAlign w:val="center"/>
          </w:tcPr>
          <w:p w14:paraId="250FF6C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0.74</w:t>
            </w:r>
          </w:p>
        </w:tc>
        <w:tc>
          <w:tcPr>
            <w:tcW w:w="0" w:type="auto"/>
            <w:vAlign w:val="center"/>
          </w:tcPr>
          <w:p w14:paraId="707B347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27299434">
        <w:tblPrEx>
          <w:tblCellMar>
            <w:top w:w="15" w:type="dxa"/>
            <w:left w:w="15" w:type="dxa"/>
            <w:bottom w:w="15" w:type="dxa"/>
            <w:right w:w="15" w:type="dxa"/>
          </w:tblCellMar>
        </w:tblPrEx>
        <w:trPr>
          <w:tblCellSpacing w:w="15" w:type="dxa"/>
        </w:trPr>
        <w:tc>
          <w:tcPr>
            <w:tcW w:w="5510" w:type="dxa"/>
            <w:tcBorders>
              <w:bottom w:val="single" w:color="auto" w:sz="4" w:space="0"/>
            </w:tcBorders>
            <w:vAlign w:val="center"/>
          </w:tcPr>
          <w:p w14:paraId="17B04FD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Lack of interdisciplinary skills limited the use of mathematical-AI models.</w:t>
            </w:r>
          </w:p>
        </w:tc>
        <w:tc>
          <w:tcPr>
            <w:tcW w:w="0" w:type="auto"/>
            <w:tcBorders>
              <w:bottom w:val="single" w:color="auto" w:sz="4" w:space="0"/>
            </w:tcBorders>
            <w:vAlign w:val="center"/>
          </w:tcPr>
          <w:p w14:paraId="61F4E0B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4.23</w:t>
            </w:r>
          </w:p>
        </w:tc>
        <w:tc>
          <w:tcPr>
            <w:tcW w:w="0" w:type="auto"/>
            <w:tcBorders>
              <w:bottom w:val="single" w:color="auto" w:sz="4" w:space="0"/>
            </w:tcBorders>
            <w:vAlign w:val="center"/>
          </w:tcPr>
          <w:p w14:paraId="0A5CFFD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0.69</w:t>
            </w:r>
          </w:p>
        </w:tc>
        <w:tc>
          <w:tcPr>
            <w:tcW w:w="0" w:type="auto"/>
            <w:tcBorders>
              <w:bottom w:val="single" w:color="auto" w:sz="4" w:space="0"/>
            </w:tcBorders>
            <w:vAlign w:val="center"/>
          </w:tcPr>
          <w:p w14:paraId="2CCF48D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bl>
    <w:p w14:paraId="605A59E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eastAsia="SimSun" w:cs="Goudy Old Style"/>
          <w:sz w:val="22"/>
          <w:szCs w:val="22"/>
          <w:lang w:eastAsia="zh-CN" w:bidi="ar"/>
        </w:rPr>
        <w:sectPr>
          <w:type w:val="continuous"/>
          <w:pgSz w:w="12240" w:h="15840"/>
          <w:pgMar w:top="1440" w:right="1440" w:bottom="1440" w:left="1440" w:header="720" w:footer="720" w:gutter="0"/>
          <w:pgNumType w:fmt="decimal"/>
          <w:cols w:space="720" w:num="1"/>
          <w:docGrid w:linePitch="360" w:charSpace="0"/>
        </w:sectPr>
      </w:pPr>
    </w:p>
    <w:p w14:paraId="012768A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As illustrated in Table 5, several obstacles to the use of mathematical-AI models of biological systems were identified. The greatest mean response was 4.33 for the effect of poor data quality on the accuracy of these models. This indicates that responses were strongly positive, with a need for reliable data to develop effective models. Some AI models lacked a clear biological basis, which explains why this statement received a mean score of 4.29 and raises concerns about the explainability of AI. The first point above about making predictions is all well and good in biology and medical science, but scientists would also like to know why a model might behave in a certain manner. The results also revealed a large problem with respect to the lack of mean interdisciplinary skills, with a score of 4.23. It'll take skills in biology, math, statistics, computer science, and ethics to build a successful mathematical AI model. Respondents further noted that complex mathematical models are difficult for non-specialist audiences to comprehend, and that ethical considerations must be taken into account when using biological and medical information.</w:t>
      </w:r>
    </w:p>
    <w:p w14:paraId="39040C3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5FE6BFB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sz w:val="22"/>
          <w:szCs w:val="22"/>
        </w:rPr>
      </w:pPr>
      <w:r>
        <w:rPr>
          <w:rFonts w:hint="default" w:ascii="Goudy Old Style" w:hAnsi="Goudy Old Style" w:cs="Goudy Old Style"/>
          <w:sz w:val="22"/>
          <w:szCs w:val="22"/>
        </w:rPr>
        <w:drawing>
          <wp:inline distT="0" distB="0" distL="0" distR="0">
            <wp:extent cx="5943600" cy="3756660"/>
            <wp:effectExtent l="0" t="0" r="0" b="15240"/>
            <wp:docPr id="187157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674" name="Picture 5"/>
                    <pic:cNvPicPr>
                      <a:picLocks noChangeAspect="1"/>
                    </pic:cNvPicPr>
                  </pic:nvPicPr>
                  <pic:blipFill>
                    <a:blip r:embed="rId12" cstate="print">
                      <a:extLst>
                        <a:ext uri="{28A0092B-C50C-407E-A947-70E740481C1C}">
                          <a14:useLocalDpi xmlns:a14="http://schemas.microsoft.com/office/drawing/2010/main" val="0"/>
                        </a:ext>
                      </a:extLst>
                    </a:blip>
                    <a:srcRect t="4101"/>
                    <a:stretch>
                      <a:fillRect/>
                    </a:stretch>
                  </pic:blipFill>
                  <pic:spPr>
                    <a:xfrm>
                      <a:off x="0" y="0"/>
                      <a:ext cx="5943600" cy="3756660"/>
                    </a:xfrm>
                    <a:prstGeom prst="rect">
                      <a:avLst/>
                    </a:prstGeom>
                  </pic:spPr>
                </pic:pic>
              </a:graphicData>
            </a:graphic>
          </wp:inline>
        </w:drawing>
      </w:r>
    </w:p>
    <w:p w14:paraId="32566CC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b/>
          <w:bCs/>
          <w:i/>
          <w:iCs/>
          <w:sz w:val="22"/>
          <w:szCs w:val="22"/>
        </w:rPr>
      </w:pPr>
      <w:r>
        <w:rPr>
          <w:rFonts w:hint="default" w:ascii="Goudy Old Style" w:hAnsi="Goudy Old Style" w:cs="Goudy Old Style"/>
          <w:b/>
          <w:bCs/>
          <w:i/>
          <w:iCs/>
          <w:sz w:val="22"/>
          <w:szCs w:val="22"/>
        </w:rPr>
        <w:t>Figure 5.Challenges in Mathematical-AI Biological Modeling</w:t>
      </w:r>
    </w:p>
    <w:p w14:paraId="7E8A3EE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space="720" w:num="1"/>
          <w:docGrid w:linePitch="360" w:charSpace="0"/>
        </w:sectPr>
      </w:pPr>
    </w:p>
    <w:p w14:paraId="38991A8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Significance of Biomathematics and Artificial Intelligence in the Digital Era</w:t>
      </w:r>
    </w:p>
    <w:p w14:paraId="649B013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This table examined the overall significance of biomathematics and artificial intelligence in modern biological research. </w:t>
      </w:r>
    </w:p>
    <w:p w14:paraId="3AD918A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532B660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p>
    <w:p w14:paraId="399B55C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equalWidth="0" w:num="2">
            <w:col w:w="4467" w:space="425"/>
            <w:col w:w="4467"/>
          </w:cols>
          <w:docGrid w:linePitch="360" w:charSpace="0"/>
        </w:sectPr>
      </w:pPr>
    </w:p>
    <w:p w14:paraId="298A447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i/>
          <w:iCs/>
          <w:sz w:val="22"/>
          <w:szCs w:val="22"/>
        </w:rPr>
      </w:pPr>
      <w:r>
        <w:rPr>
          <w:rFonts w:hint="default" w:ascii="Goudy Old Style" w:hAnsi="Goudy Old Style" w:cs="Goudy Old Style"/>
          <w:b/>
          <w:bCs/>
          <w:sz w:val="22"/>
          <w:szCs w:val="22"/>
        </w:rPr>
        <w:t>Table 6</w:t>
      </w:r>
      <w:r>
        <w:rPr>
          <w:rFonts w:hint="default" w:ascii="Goudy Old Style" w:hAnsi="Goudy Old Style" w:cs="Goudy Old Style"/>
          <w:b/>
          <w:bCs/>
          <w:sz w:val="22"/>
          <w:szCs w:val="22"/>
          <w:lang w:val="en-US"/>
        </w:rPr>
        <w:t>:</w:t>
      </w:r>
      <w:r>
        <w:rPr>
          <w:rFonts w:hint="default" w:ascii="Goudy Old Style" w:hAnsi="Goudy Old Style" w:cs="Goudy Old Style"/>
          <w:b/>
          <w:bCs/>
          <w:sz w:val="22"/>
          <w:szCs w:val="22"/>
          <w:lang w:val="en-US"/>
        </w:rPr>
        <w:tab/>
      </w:r>
      <w:r>
        <w:rPr>
          <w:rFonts w:hint="default" w:ascii="Goudy Old Style" w:hAnsi="Goudy Old Style" w:cs="Goudy Old Style"/>
          <w:b/>
          <w:bCs/>
          <w:i/>
          <w:iCs/>
          <w:sz w:val="22"/>
          <w:szCs w:val="22"/>
        </w:rPr>
        <w:t>Significance of Biomathematics and Artificial Intelligence in the Digital Era</w:t>
      </w:r>
    </w:p>
    <w:tbl>
      <w:tblPr>
        <w:tblStyle w:val="12"/>
        <w:tblW w:w="0" w:type="auto"/>
        <w:tblCellSpacing w:w="15" w:type="dxa"/>
        <w:tblInd w:w="0" w:type="dxa"/>
        <w:tblLayout w:type="autofit"/>
        <w:tblCellMar>
          <w:top w:w="15" w:type="dxa"/>
          <w:left w:w="15" w:type="dxa"/>
          <w:bottom w:w="15" w:type="dxa"/>
          <w:right w:w="15" w:type="dxa"/>
        </w:tblCellMar>
      </w:tblPr>
      <w:tblGrid>
        <w:gridCol w:w="6055"/>
        <w:gridCol w:w="556"/>
        <w:gridCol w:w="1537"/>
        <w:gridCol w:w="1302"/>
      </w:tblGrid>
      <w:tr w14:paraId="4F69C0C4">
        <w:tblPrEx>
          <w:tblCellMar>
            <w:top w:w="15" w:type="dxa"/>
            <w:left w:w="15" w:type="dxa"/>
            <w:bottom w:w="15" w:type="dxa"/>
            <w:right w:w="15" w:type="dxa"/>
          </w:tblCellMar>
        </w:tblPrEx>
        <w:trPr>
          <w:tblHeader/>
          <w:tblCellSpacing w:w="15" w:type="dxa"/>
        </w:trPr>
        <w:tc>
          <w:tcPr>
            <w:tcW w:w="0" w:type="auto"/>
            <w:tcBorders>
              <w:top w:val="single" w:color="auto" w:sz="4" w:space="0"/>
              <w:bottom w:val="single" w:color="auto" w:sz="4" w:space="0"/>
            </w:tcBorders>
            <w:vAlign w:val="center"/>
          </w:tcPr>
          <w:p w14:paraId="3872616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Statement</w:t>
            </w:r>
          </w:p>
        </w:tc>
        <w:tc>
          <w:tcPr>
            <w:tcW w:w="0" w:type="auto"/>
            <w:tcBorders>
              <w:top w:val="single" w:color="auto" w:sz="4" w:space="0"/>
              <w:bottom w:val="single" w:color="auto" w:sz="4" w:space="0"/>
            </w:tcBorders>
            <w:vAlign w:val="center"/>
          </w:tcPr>
          <w:p w14:paraId="170E844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Mean</w:t>
            </w:r>
          </w:p>
        </w:tc>
        <w:tc>
          <w:tcPr>
            <w:tcW w:w="0" w:type="auto"/>
            <w:tcBorders>
              <w:top w:val="single" w:color="auto" w:sz="4" w:space="0"/>
              <w:bottom w:val="single" w:color="auto" w:sz="4" w:space="0"/>
            </w:tcBorders>
            <w:vAlign w:val="center"/>
          </w:tcPr>
          <w:p w14:paraId="22F580E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Standard Deviation</w:t>
            </w:r>
          </w:p>
        </w:tc>
        <w:tc>
          <w:tcPr>
            <w:tcW w:w="0" w:type="auto"/>
            <w:tcBorders>
              <w:top w:val="single" w:color="auto" w:sz="4" w:space="0"/>
              <w:bottom w:val="single" w:color="auto" w:sz="4" w:space="0"/>
            </w:tcBorders>
            <w:vAlign w:val="center"/>
          </w:tcPr>
          <w:p w14:paraId="3F5F8B2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Interpretation</w:t>
            </w:r>
          </w:p>
        </w:tc>
      </w:tr>
      <w:tr w14:paraId="09A14A03">
        <w:tblPrEx>
          <w:tblCellMar>
            <w:top w:w="15" w:type="dxa"/>
            <w:left w:w="15" w:type="dxa"/>
            <w:bottom w:w="15" w:type="dxa"/>
            <w:right w:w="15" w:type="dxa"/>
          </w:tblCellMar>
        </w:tblPrEx>
        <w:trPr>
          <w:tblCellSpacing w:w="15" w:type="dxa"/>
        </w:trPr>
        <w:tc>
          <w:tcPr>
            <w:tcW w:w="0" w:type="auto"/>
            <w:vAlign w:val="center"/>
          </w:tcPr>
          <w:p w14:paraId="2714ED2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Biomathematics and AI have improved modern biological research.</w:t>
            </w:r>
          </w:p>
        </w:tc>
        <w:tc>
          <w:tcPr>
            <w:tcW w:w="0" w:type="auto"/>
            <w:vAlign w:val="center"/>
          </w:tcPr>
          <w:p w14:paraId="68D9E13B">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4.34</w:t>
            </w:r>
          </w:p>
        </w:tc>
        <w:tc>
          <w:tcPr>
            <w:tcW w:w="0" w:type="auto"/>
            <w:vAlign w:val="center"/>
          </w:tcPr>
          <w:p w14:paraId="09A270E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0.60</w:t>
            </w:r>
          </w:p>
        </w:tc>
        <w:tc>
          <w:tcPr>
            <w:tcW w:w="0" w:type="auto"/>
            <w:vAlign w:val="center"/>
          </w:tcPr>
          <w:p w14:paraId="37D1E09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606F7774">
        <w:tblPrEx>
          <w:tblCellMar>
            <w:top w:w="15" w:type="dxa"/>
            <w:left w:w="15" w:type="dxa"/>
            <w:bottom w:w="15" w:type="dxa"/>
            <w:right w:w="15" w:type="dxa"/>
          </w:tblCellMar>
        </w:tblPrEx>
        <w:trPr>
          <w:tblCellSpacing w:w="15" w:type="dxa"/>
        </w:trPr>
        <w:tc>
          <w:tcPr>
            <w:tcW w:w="0" w:type="auto"/>
            <w:vAlign w:val="center"/>
          </w:tcPr>
          <w:p w14:paraId="0BA10A1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Mathematical AI models supported better decision-making in healthcare.</w:t>
            </w:r>
          </w:p>
        </w:tc>
        <w:tc>
          <w:tcPr>
            <w:tcW w:w="0" w:type="auto"/>
            <w:vAlign w:val="center"/>
          </w:tcPr>
          <w:p w14:paraId="3C0BF1C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4.20</w:t>
            </w:r>
          </w:p>
        </w:tc>
        <w:tc>
          <w:tcPr>
            <w:tcW w:w="0" w:type="auto"/>
            <w:vAlign w:val="center"/>
          </w:tcPr>
          <w:p w14:paraId="3146998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0.72</w:t>
            </w:r>
          </w:p>
        </w:tc>
        <w:tc>
          <w:tcPr>
            <w:tcW w:w="0" w:type="auto"/>
            <w:vAlign w:val="center"/>
          </w:tcPr>
          <w:p w14:paraId="7C7CF27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609D6C5A">
        <w:tblPrEx>
          <w:tblCellMar>
            <w:top w:w="15" w:type="dxa"/>
            <w:left w:w="15" w:type="dxa"/>
            <w:bottom w:w="15" w:type="dxa"/>
            <w:right w:w="15" w:type="dxa"/>
          </w:tblCellMar>
        </w:tblPrEx>
        <w:trPr>
          <w:tblCellSpacing w:w="15" w:type="dxa"/>
        </w:trPr>
        <w:tc>
          <w:tcPr>
            <w:tcW w:w="0" w:type="auto"/>
            <w:vAlign w:val="center"/>
          </w:tcPr>
          <w:p w14:paraId="2F46997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These models helped researchers understand disease mechanisms.</w:t>
            </w:r>
          </w:p>
        </w:tc>
        <w:tc>
          <w:tcPr>
            <w:tcW w:w="0" w:type="auto"/>
            <w:vAlign w:val="center"/>
          </w:tcPr>
          <w:p w14:paraId="4279915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4.26</w:t>
            </w:r>
          </w:p>
        </w:tc>
        <w:tc>
          <w:tcPr>
            <w:tcW w:w="0" w:type="auto"/>
            <w:vAlign w:val="center"/>
          </w:tcPr>
          <w:p w14:paraId="4CCA8CA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0.68</w:t>
            </w:r>
          </w:p>
        </w:tc>
        <w:tc>
          <w:tcPr>
            <w:tcW w:w="0" w:type="auto"/>
            <w:vAlign w:val="center"/>
          </w:tcPr>
          <w:p w14:paraId="1182C3C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r w14:paraId="4527DFEC">
        <w:tblPrEx>
          <w:tblCellMar>
            <w:top w:w="15" w:type="dxa"/>
            <w:left w:w="15" w:type="dxa"/>
            <w:bottom w:w="15" w:type="dxa"/>
            <w:right w:w="15" w:type="dxa"/>
          </w:tblCellMar>
        </w:tblPrEx>
        <w:trPr>
          <w:tblCellSpacing w:w="15" w:type="dxa"/>
        </w:trPr>
        <w:tc>
          <w:tcPr>
            <w:tcW w:w="0" w:type="auto"/>
            <w:vAlign w:val="center"/>
          </w:tcPr>
          <w:p w14:paraId="1252A85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Biomathematics and AI contributed to personalized healthcare.</w:t>
            </w:r>
          </w:p>
        </w:tc>
        <w:tc>
          <w:tcPr>
            <w:tcW w:w="0" w:type="auto"/>
            <w:vAlign w:val="center"/>
          </w:tcPr>
          <w:p w14:paraId="0810DDD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4.17</w:t>
            </w:r>
          </w:p>
        </w:tc>
        <w:tc>
          <w:tcPr>
            <w:tcW w:w="0" w:type="auto"/>
            <w:vAlign w:val="center"/>
          </w:tcPr>
          <w:p w14:paraId="0A1A1DA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0.76</w:t>
            </w:r>
          </w:p>
        </w:tc>
        <w:tc>
          <w:tcPr>
            <w:tcW w:w="0" w:type="auto"/>
            <w:vAlign w:val="center"/>
          </w:tcPr>
          <w:p w14:paraId="26EF4B4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High</w:t>
            </w:r>
          </w:p>
        </w:tc>
      </w:tr>
      <w:tr w14:paraId="1DEDA7EB">
        <w:tblPrEx>
          <w:tblCellMar>
            <w:top w:w="15" w:type="dxa"/>
            <w:left w:w="15" w:type="dxa"/>
            <w:bottom w:w="15" w:type="dxa"/>
            <w:right w:w="15" w:type="dxa"/>
          </w:tblCellMar>
        </w:tblPrEx>
        <w:trPr>
          <w:tblCellSpacing w:w="15" w:type="dxa"/>
        </w:trPr>
        <w:tc>
          <w:tcPr>
            <w:tcW w:w="0" w:type="auto"/>
            <w:tcBorders>
              <w:bottom w:val="single" w:color="auto" w:sz="4" w:space="0"/>
            </w:tcBorders>
            <w:vAlign w:val="center"/>
          </w:tcPr>
          <w:p w14:paraId="25C6479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Future biological research requires stronger integration of mathematics, AI, and biology.</w:t>
            </w:r>
          </w:p>
        </w:tc>
        <w:tc>
          <w:tcPr>
            <w:tcW w:w="0" w:type="auto"/>
            <w:tcBorders>
              <w:bottom w:val="single" w:color="auto" w:sz="4" w:space="0"/>
            </w:tcBorders>
            <w:vAlign w:val="center"/>
          </w:tcPr>
          <w:p w14:paraId="42B6149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4.38</w:t>
            </w:r>
          </w:p>
        </w:tc>
        <w:tc>
          <w:tcPr>
            <w:tcW w:w="0" w:type="auto"/>
            <w:tcBorders>
              <w:bottom w:val="single" w:color="auto" w:sz="4" w:space="0"/>
            </w:tcBorders>
            <w:vAlign w:val="center"/>
          </w:tcPr>
          <w:p w14:paraId="5E400A4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0.58</w:t>
            </w:r>
          </w:p>
        </w:tc>
        <w:tc>
          <w:tcPr>
            <w:tcW w:w="0" w:type="auto"/>
            <w:tcBorders>
              <w:bottom w:val="single" w:color="auto" w:sz="4" w:space="0"/>
            </w:tcBorders>
            <w:vAlign w:val="center"/>
          </w:tcPr>
          <w:p w14:paraId="59D6BBC0">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Very High</w:t>
            </w:r>
          </w:p>
        </w:tc>
      </w:tr>
    </w:tbl>
    <w:p w14:paraId="414F9CD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 xml:space="preserve">As seen from Table 6, there is a strong perception of the importance of biomathematics and artificial intelligence in the digital era. The one with the highest mean score was that more integration of mathematics, artificial intelligence, and biology should be included in future biological studies. The mean score for the assertion that biomathematics, coupled with artificial intelligence, increased modern biological research was also high (4.34). This indicated that the respondents saw these areas as required for the development of science. The findings additionally reveal that the participants had high to very high levels of agreement (mean scores 4.17 to 4.26) on the usefulness of mathematical and artificial intelligence (AI) models for decision-making in health care, analysis of disease processes, and personalized health care. </w:t>
      </w:r>
    </w:p>
    <w:p w14:paraId="786DE11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sz w:val="22"/>
          <w:szCs w:val="22"/>
        </w:rPr>
      </w:pPr>
      <w:r>
        <w:rPr>
          <w:rFonts w:hint="default" w:ascii="Goudy Old Style" w:hAnsi="Goudy Old Style" w:cs="Goudy Old Style"/>
          <w:sz w:val="22"/>
          <w:szCs w:val="22"/>
        </w:rPr>
        <w:drawing>
          <wp:inline distT="0" distB="0" distL="0" distR="0">
            <wp:extent cx="5943600" cy="3429000"/>
            <wp:effectExtent l="0" t="0" r="0" b="0"/>
            <wp:docPr id="1361105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05499" name="Picture 6"/>
                    <pic:cNvPicPr>
                      <a:picLocks noChangeAspect="1"/>
                    </pic:cNvPicPr>
                  </pic:nvPicPr>
                  <pic:blipFill>
                    <a:blip r:embed="rId13">
                      <a:extLst>
                        <a:ext uri="{28A0092B-C50C-407E-A947-70E740481C1C}">
                          <a14:useLocalDpi xmlns:a14="http://schemas.microsoft.com/office/drawing/2010/main" val="0"/>
                        </a:ext>
                      </a:extLst>
                    </a:blip>
                    <a:srcRect t="4661"/>
                    <a:stretch>
                      <a:fillRect/>
                    </a:stretch>
                  </pic:blipFill>
                  <pic:spPr>
                    <a:xfrm>
                      <a:off x="0" y="0"/>
                      <a:ext cx="5943600" cy="3429000"/>
                    </a:xfrm>
                    <a:prstGeom prst="rect">
                      <a:avLst/>
                    </a:prstGeom>
                  </pic:spPr>
                </pic:pic>
              </a:graphicData>
            </a:graphic>
          </wp:inline>
        </w:drawing>
      </w:r>
    </w:p>
    <w:p w14:paraId="2A60D3B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center"/>
        <w:textAlignment w:val="auto"/>
        <w:rPr>
          <w:rFonts w:hint="default" w:ascii="Goudy Old Style" w:hAnsi="Goudy Old Style" w:cs="Goudy Old Style"/>
          <w:b/>
          <w:bCs/>
          <w:i/>
          <w:iCs/>
          <w:sz w:val="22"/>
          <w:szCs w:val="22"/>
        </w:rPr>
      </w:pPr>
      <w:r>
        <w:rPr>
          <w:rFonts w:hint="default" w:ascii="Goudy Old Style" w:hAnsi="Goudy Old Style" w:cs="Goudy Old Style"/>
          <w:b/>
          <w:bCs/>
          <w:i/>
          <w:iCs/>
          <w:sz w:val="22"/>
          <w:szCs w:val="22"/>
        </w:rPr>
        <w:t>Figure 6.Significance of Biomathematics and Artificial Intelligence in the Digital Era</w:t>
      </w:r>
    </w:p>
    <w:p w14:paraId="1788E17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sectPr>
          <w:type w:val="continuous"/>
          <w:pgSz w:w="12240" w:h="15840"/>
          <w:pgMar w:top="1440" w:right="1440" w:bottom="1440" w:left="1440" w:header="720" w:footer="720" w:gutter="0"/>
          <w:pgNumType w:fmt="decimal"/>
          <w:cols w:space="720" w:num="1"/>
          <w:docGrid w:linePitch="360" w:charSpace="0"/>
        </w:sectPr>
      </w:pPr>
    </w:p>
    <w:p w14:paraId="5FA6313F">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Discussion</w:t>
      </w:r>
    </w:p>
    <w:p w14:paraId="05BC391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sz w:val="22"/>
          <w:szCs w:val="22"/>
        </w:rPr>
      </w:pPr>
      <w:r>
        <w:rPr>
          <w:rFonts w:hint="default" w:ascii="Goudy Old Style" w:hAnsi="Goudy Old Style" w:eastAsia="SimSun" w:cs="Goudy Old Style"/>
          <w:sz w:val="22"/>
          <w:szCs w:val="22"/>
          <w:lang w:eastAsia="zh-CN" w:bidi="ar"/>
        </w:rPr>
        <w:t>The results of this study show that the application of biomathematics and AI is useful for understanding complex biological systems and for modelling. While mathematical models offer a clear structure for articulating biological processes, AI can analyze and aggregate data from a wide variety of sources, including, without limitation, omics techniques in basic research, to uncover patterns that may not be observed using these methods. These strategies, adopted together, allow improved prediction and scientific understanding. This also aligns with emerging research showing that integrating mathematical modelling and AI is beneficial for biological research, combining scientific expertise with cutting-edge computational tools (Noordijk et al., 2024; Peirce-Cottler,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At the same time, as the digital age rapidly reshapes research across other areas of biology, the paper highlights the significance of artificial intelligence in biological research and the need to harness it in future research. Given the surge of data across the genome, clinical settings, and environments, conventional data analysis tools are ill-equipped to meet these challenges. The vast amount of data creates challenges for those who need to process and analyze it efficiently, while also hindering those who need to make decisions in fields like drug discovery, precision medicine, and disease diagnosis in a timely manner. AI can help with both of these challenges. These findings are consistent with recent research showing AI's increasing prominence as a fundamental tool for biological data analysis, enabling valuable conclusions from the complexities of the data (Topol, 2024; Liu,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One of the biggest insights is that mathematical models will remain essential despite the ever-changing landscape of AI technologies. Mathematical models can explain all the predictions, but AI can also make fairly accurate predictions. As a result of the balance between prediction and interpretation, integrated models are more reliable instruments for scientific work and scientific applications. There is increasing scientific literature focusing on the advantages of integrating mathematical/computational models with their mechanistic solutions into AI to improve model performance and interpretability in science and applications of healthcare and systems biology (Peirce-Cottler, 2024; Zhao,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The results also suggest that a synergistic interaction between the biomathematical and the AI models could be useful in diverse biological studies. There is potential for use in disease surveillance and environmental monitoring, in agricultural management, and for fewer experimental tests to enable more precise disease predictions and improve the efficiency of biotechnology. Digital technologies and coherent/hybrid/computational association models are likely to be used more frequently in scientific studies. This is relevant to the raging debate about the future of biological and biomedical innovation of hybrid modelling (Stephan et al., 2024; Noordijk et al., 2024).</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The study recognizes that there are still many challenges. Biological systems are inherently more complex than other systems, making it difficult to design accurate, easy-to-use models of them. Other issues include data quality, computational requirements, and ethical concerns about AI. From now on, research efforts should be directed toward creating explainable AI systems that integrate seamlessly with biomathematics to produce credible, robust results. These will provide further reinforcement of biomathematics and artificial intelligence in digital progress, in turn, advancing scientific advances in biology and evidence-based decision-making.</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Conclusion</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It was found that, in the digital age, biomathematics and artificial intelligence (AI) are playing a significant role in modelling complex systems, particularly biological systems. Results showed that mathematical models can explain and predict biological events and make complex interactions more understandable. The researchers analyzed the disease process, cell behaviour, population dynamics, genetic regulation and biological networks via equations, simulations, and statistical analysis. It was also reported that people interested in biomathematics expressed favourable sentiments about the role of biomathematics in the interdisciplinary nature of information in biology, mathematics, computing, and data science.</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Recommendations</w:t>
      </w:r>
      <w:r>
        <w:rPr>
          <w:rFonts w:hint="default" w:ascii="Goudy Old Style" w:hAnsi="Goudy Old Style" w:eastAsia="SimSun" w:cs="Goudy Old Style"/>
          <w:b/>
          <w:bCs/>
          <w:sz w:val="22"/>
          <w:szCs w:val="22"/>
          <w:lang w:eastAsia="zh-CN" w:bidi="ar"/>
        </w:rPr>
        <w:br w:type="textWrapping"/>
      </w:r>
      <w:r>
        <w:rPr>
          <w:rFonts w:hint="default" w:ascii="Goudy Old Style" w:hAnsi="Goudy Old Style" w:eastAsia="SimSun" w:cs="Goudy Old Style"/>
          <w:sz w:val="22"/>
          <w:szCs w:val="22"/>
          <w:lang w:eastAsia="zh-CN" w:bidi="ar"/>
        </w:rPr>
        <w:t>The study proposes integrating a broad interdisciplinary approach across higher education and research centres, especially in biology, mathematics, statistics, computer science, and AI. Establishing how to use and understand the mathematical AI models and models built from them is essential. For science and health-related study programmes, courses in biomathematics, bioinformatics, data analysis, machine learning and systems biology will be useful. This would enable students to learn the skills needed for contemporary biological research.</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b/>
          <w:bCs/>
          <w:sz w:val="22"/>
          <w:szCs w:val="22"/>
          <w:lang w:eastAsia="zh-CN" w:bidi="ar"/>
        </w:rPr>
        <w:t>Future Directions</w:t>
      </w:r>
      <w:r>
        <w:rPr>
          <w:rFonts w:hint="default" w:ascii="Goudy Old Style" w:hAnsi="Goudy Old Style" w:eastAsia="SimSun" w:cs="Goudy Old Style"/>
          <w:sz w:val="22"/>
          <w:szCs w:val="22"/>
          <w:lang w:eastAsia="zh-CN" w:bidi="ar"/>
        </w:rPr>
        <w:br w:type="textWrapping"/>
      </w:r>
      <w:r>
        <w:rPr>
          <w:rFonts w:hint="default" w:ascii="Goudy Old Style" w:hAnsi="Goudy Old Style" w:eastAsia="SimSun" w:cs="Goudy Old Style"/>
          <w:sz w:val="22"/>
          <w:szCs w:val="22"/>
          <w:lang w:eastAsia="zh-CN" w:bidi="ar"/>
        </w:rPr>
        <w:t>Future studies are required to develop "hybrid" methods that combine mathematical equations, artificial intelligence (AI) techniques, biological theory, and real-time data. These models may be used to predict a drug's effectiveness in a patient, disease progression, and the function of genes in this process. Mathematical AI models should be tested in the real biological and clinical contexts, rather than in theory or surveys. This would give greater insight into the real-world functionality of these types of models.</w:t>
      </w:r>
    </w:p>
    <w:p w14:paraId="3A33914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0" w:firstLine="0"/>
        <w:jc w:val="both"/>
        <w:textAlignment w:val="auto"/>
        <w:rPr>
          <w:rFonts w:hint="default" w:ascii="Goudy Old Style" w:hAnsi="Goudy Old Style" w:cs="Goudy Old Style"/>
          <w:b/>
          <w:bCs/>
          <w:sz w:val="22"/>
          <w:szCs w:val="22"/>
        </w:rPr>
      </w:pPr>
      <w:r>
        <w:rPr>
          <w:rFonts w:hint="default" w:ascii="Goudy Old Style" w:hAnsi="Goudy Old Style" w:cs="Goudy Old Style"/>
          <w:b/>
          <w:bCs/>
          <w:sz w:val="22"/>
          <w:szCs w:val="22"/>
        </w:rPr>
        <w:t>References</w:t>
      </w:r>
    </w:p>
    <w:p w14:paraId="67586C7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Ahmadi Daryakenari, N., De Florio, M., Shukla, K., &amp; Karniadakis, G. E. (2024). AI-Aristotle: A physics-informed framework for systems biology gray-box identification. </w:t>
      </w:r>
      <w:r>
        <w:rPr>
          <w:rFonts w:hint="default" w:ascii="Goudy Old Style" w:hAnsi="Goudy Old Style" w:cs="Goudy Old Style"/>
          <w:i/>
          <w:iCs/>
          <w:sz w:val="22"/>
          <w:szCs w:val="22"/>
        </w:rPr>
        <w:t>PLOS Computational Biology, 20</w:t>
      </w:r>
      <w:r>
        <w:rPr>
          <w:rFonts w:hint="default" w:ascii="Goudy Old Style" w:hAnsi="Goudy Old Style" w:cs="Goudy Old Style"/>
          <w:sz w:val="22"/>
          <w:szCs w:val="22"/>
        </w:rPr>
        <w:t xml:space="preserve">(3), e1011916.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"https://doi.org/10.1371/journal.pcbi.1011916"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https://doi.org/10.1371/journal.pcbi.1011916</w:t>
      </w:r>
      <w:r>
        <w:rPr>
          <w:rStyle w:val="25"/>
          <w:rFonts w:hint="default" w:ascii="Goudy Old Style" w:hAnsi="Goudy Old Style" w:cs="Goudy Old Style"/>
          <w:sz w:val="22"/>
          <w:szCs w:val="22"/>
        </w:rPr>
        <w:fldChar w:fldCharType="end"/>
      </w:r>
    </w:p>
    <w:p w14:paraId="4645E2C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Avsec, Ž., Agarwal, V., Visentin, D., Ledsam, J. R., Grabska-Barwinska, A., Taylor, K. R., Assael, Y., Jumper, J., Kohli, P., &amp; Kelley, D. R. (2021). Effective gene expression prediction from sequence by integrating long-range interactions. </w:t>
      </w:r>
      <w:r>
        <w:rPr>
          <w:rFonts w:hint="default" w:ascii="Goudy Old Style" w:hAnsi="Goudy Old Style" w:cs="Goudy Old Style"/>
          <w:i/>
          <w:iCs/>
          <w:sz w:val="22"/>
          <w:szCs w:val="22"/>
        </w:rPr>
        <w:t>Nature Methods, 18</w:t>
      </w:r>
      <w:r>
        <w:rPr>
          <w:rFonts w:hint="default" w:ascii="Goudy Old Style" w:hAnsi="Goudy Old Style" w:cs="Goudy Old Style"/>
          <w:sz w:val="22"/>
          <w:szCs w:val="22"/>
        </w:rPr>
        <w:t xml:space="preserve">(10), 1196–1203.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"https://doi.org/10.1038/s41592-021-01252-x"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https://doi.org/10.1038/s41592-021-01252-x</w:t>
      </w:r>
      <w:r>
        <w:rPr>
          <w:rStyle w:val="25"/>
          <w:rFonts w:hint="default" w:ascii="Goudy Old Style" w:hAnsi="Goudy Old Style" w:cs="Goudy Old Style"/>
          <w:sz w:val="22"/>
          <w:szCs w:val="22"/>
        </w:rPr>
        <w:fldChar w:fldCharType="end"/>
      </w:r>
    </w:p>
    <w:p w14:paraId="0218D19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Barredo Arrieta, A., Díaz-Rodríguez, N., Del Ser, J., Bennetot, A., Tabik, S., Barbado, A., García, S., Gil-López, S., Molina, D., Benjamins, R., Chatila, R., &amp; Herrera, F. (2020). Explainable artificial intelligence (XAI): Concepts, taxonomies, opportunities and challenges toward responsible AI. </w:t>
      </w:r>
      <w:r>
        <w:rPr>
          <w:rFonts w:hint="default" w:ascii="Goudy Old Style" w:hAnsi="Goudy Old Style" w:cs="Goudy Old Style"/>
          <w:i/>
          <w:iCs/>
          <w:sz w:val="22"/>
          <w:szCs w:val="22"/>
        </w:rPr>
        <w:t>Information Fusion, 58</w:t>
      </w:r>
      <w:r>
        <w:rPr>
          <w:rFonts w:hint="default" w:ascii="Goudy Old Style" w:hAnsi="Goudy Old Style" w:cs="Goudy Old Style"/>
          <w:sz w:val="22"/>
          <w:szCs w:val="22"/>
        </w:rPr>
        <w:t xml:space="preserve">, 82–115.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"https://doi.org/10.1016/j.inffus.2019.12.012"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https://doi.org/10.1016/j.inffus.2019.12.012</w:t>
      </w:r>
      <w:r>
        <w:rPr>
          <w:rStyle w:val="25"/>
          <w:rFonts w:hint="default" w:ascii="Goudy Old Style" w:hAnsi="Goudy Old Style" w:cs="Goudy Old Style"/>
          <w:sz w:val="22"/>
          <w:szCs w:val="22"/>
        </w:rPr>
        <w:fldChar w:fldCharType="end"/>
      </w:r>
    </w:p>
    <w:p w14:paraId="0D2C7E2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Dara, S., Dhamercherla, S., Jadav, S. S., Babu, C. H. M., &amp; Ahsan, M. J. (2022). Machine learning in drug discovery: A review. </w:t>
      </w:r>
      <w:r>
        <w:rPr>
          <w:rFonts w:hint="default" w:ascii="Goudy Old Style" w:hAnsi="Goudy Old Style" w:cs="Goudy Old Style"/>
          <w:i/>
          <w:iCs/>
          <w:sz w:val="22"/>
          <w:szCs w:val="22"/>
        </w:rPr>
        <w:t>Artificial Intelligence Review, 55</w:t>
      </w:r>
      <w:r>
        <w:rPr>
          <w:rFonts w:hint="default" w:ascii="Goudy Old Style" w:hAnsi="Goudy Old Style" w:cs="Goudy Old Style"/>
          <w:sz w:val="22"/>
          <w:szCs w:val="22"/>
        </w:rPr>
        <w:t xml:space="preserve">, 1947–1999.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"https://doi.org/10.1007/s10462-021-10058-4"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https://doi.org/10.1007/s10462-021-10058-4</w:t>
      </w:r>
      <w:r>
        <w:rPr>
          <w:rStyle w:val="25"/>
          <w:rFonts w:hint="default" w:ascii="Goudy Old Style" w:hAnsi="Goudy Old Style" w:cs="Goudy Old Style"/>
          <w:sz w:val="22"/>
          <w:szCs w:val="22"/>
        </w:rPr>
        <w:fldChar w:fldCharType="end"/>
      </w:r>
    </w:p>
    <w:p w14:paraId="7EF01C7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Eraslan, G., Avsec, Ž., Gagneur, J., &amp; Theis, F. J. (2019). Deep learning: New computational modelling techniques for genomics. </w:t>
      </w:r>
      <w:r>
        <w:rPr>
          <w:rFonts w:hint="default" w:ascii="Goudy Old Style" w:hAnsi="Goudy Old Style" w:cs="Goudy Old Style"/>
          <w:i/>
          <w:iCs/>
          <w:sz w:val="22"/>
          <w:szCs w:val="22"/>
        </w:rPr>
        <w:t>Nature Reviews Genetics, 20</w:t>
      </w:r>
      <w:r>
        <w:rPr>
          <w:rFonts w:hint="default" w:ascii="Goudy Old Style" w:hAnsi="Goudy Old Style" w:cs="Goudy Old Style"/>
          <w:sz w:val="22"/>
          <w:szCs w:val="22"/>
        </w:rPr>
        <w:t xml:space="preserve">(7), 389–403.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"https://doi.org/10.1038/s41576-019-0122-6"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https://doi.org/10.1038/s41576-019-0122-6</w:t>
      </w:r>
      <w:r>
        <w:rPr>
          <w:rStyle w:val="25"/>
          <w:rFonts w:hint="default" w:ascii="Goudy Old Style" w:hAnsi="Goudy Old Style" w:cs="Goudy Old Style"/>
          <w:sz w:val="22"/>
          <w:szCs w:val="22"/>
        </w:rPr>
        <w:fldChar w:fldCharType="end"/>
      </w:r>
    </w:p>
    <w:p w14:paraId="5C802B6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Esteva, A., Robicquet, A., Ramsundar, B., Kuleshov, V., DePristo, M., Chou, K., Cui, C., Corrado, G., Thrun, S., &amp; Dean, J. (2019). A guide to deep learning in healthcare. </w:t>
      </w:r>
      <w:r>
        <w:rPr>
          <w:rFonts w:hint="default" w:ascii="Goudy Old Style" w:hAnsi="Goudy Old Style" w:cs="Goudy Old Style"/>
          <w:i/>
          <w:iCs/>
          <w:sz w:val="22"/>
          <w:szCs w:val="22"/>
        </w:rPr>
        <w:t>Nature Medicine, 25</w:t>
      </w:r>
      <w:r>
        <w:rPr>
          <w:rFonts w:hint="default" w:ascii="Goudy Old Style" w:hAnsi="Goudy Old Style" w:cs="Goudy Old Style"/>
          <w:sz w:val="22"/>
          <w:szCs w:val="22"/>
        </w:rPr>
        <w:t xml:space="preserve">(1), 24–29.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"https://doi.org/10.1038/s41591-018-0316-z"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https://doi.org/10.1038/s41591-018-0316-z</w:t>
      </w:r>
      <w:r>
        <w:rPr>
          <w:rStyle w:val="25"/>
          <w:rFonts w:hint="default" w:ascii="Goudy Old Style" w:hAnsi="Goudy Old Style" w:cs="Goudy Old Style"/>
          <w:sz w:val="22"/>
          <w:szCs w:val="22"/>
        </w:rPr>
        <w:fldChar w:fldCharType="end"/>
      </w:r>
    </w:p>
    <w:p w14:paraId="3C0EE66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Gherman, I. M., Abdallah, Z. S., Pang, W., Gorochowski, T. E., Grierson, C. S., &amp; Marucci, L. (2023). Bridging the gap between mechanistic biological models and machine learning surrogates. </w:t>
      </w:r>
      <w:r>
        <w:rPr>
          <w:rFonts w:hint="default" w:ascii="Goudy Old Style" w:hAnsi="Goudy Old Style" w:cs="Goudy Old Style"/>
          <w:i/>
          <w:iCs/>
          <w:sz w:val="22"/>
          <w:szCs w:val="22"/>
        </w:rPr>
        <w:t>PLOS Computational Biology, 19</w:t>
      </w:r>
      <w:r>
        <w:rPr>
          <w:rFonts w:hint="default" w:ascii="Goudy Old Style" w:hAnsi="Goudy Old Style" w:cs="Goudy Old Style"/>
          <w:sz w:val="22"/>
          <w:szCs w:val="22"/>
        </w:rPr>
        <w:t xml:space="preserve">(4), e1010988.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"https://doi.org/10.1371/journal.pcbi.1010988"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https://doi.org/10.1371/journal.pcbi.1010988</w:t>
      </w:r>
      <w:r>
        <w:rPr>
          <w:rStyle w:val="25"/>
          <w:rFonts w:hint="default" w:ascii="Goudy Old Style" w:hAnsi="Goudy Old Style" w:cs="Goudy Old Style"/>
          <w:sz w:val="22"/>
          <w:szCs w:val="22"/>
        </w:rPr>
        <w:fldChar w:fldCharType="end"/>
      </w:r>
    </w:p>
    <w:p w14:paraId="22AA46F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Ji, Z., Yan, K., Li, W., Hu, H., &amp; Zhu, X. (2017). Mathematical and computational modeling in complex biological systems. </w:t>
      </w:r>
      <w:r>
        <w:rPr>
          <w:rFonts w:hint="default" w:ascii="Goudy Old Style" w:hAnsi="Goudy Old Style" w:cs="Goudy Old Style"/>
          <w:i/>
          <w:iCs/>
          <w:sz w:val="22"/>
          <w:szCs w:val="22"/>
        </w:rPr>
        <w:t>BioMed Research International, 2017</w:t>
      </w:r>
      <w:r>
        <w:rPr>
          <w:rFonts w:hint="default" w:ascii="Goudy Old Style" w:hAnsi="Goudy Old Style" w:cs="Goudy Old Style"/>
          <w:sz w:val="22"/>
          <w:szCs w:val="22"/>
        </w:rPr>
        <w:t xml:space="preserve">, 5958321.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"https://doi.org/10.1155/2017/5958321"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https://doi.org/10.1155/2017/5958321</w:t>
      </w:r>
      <w:r>
        <w:rPr>
          <w:rStyle w:val="25"/>
          <w:rFonts w:hint="default" w:ascii="Goudy Old Style" w:hAnsi="Goudy Old Style" w:cs="Goudy Old Style"/>
          <w:sz w:val="22"/>
          <w:szCs w:val="22"/>
        </w:rPr>
        <w:fldChar w:fldCharType="end"/>
      </w:r>
    </w:p>
    <w:p w14:paraId="7971AFD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Jumper, J., Evans, R., Pritzel, A., Green, T., Figurnov, M., Ronneberger, O., Tunyasuvunakool, K., Bates, R., Žídek, A., Potapenko, A., Bridgland, A., Meyer, C., Kohl, S. A. A., Ballard, A. J., Cowie, A., Romera-Paredes, B., Nikolov, S., Jain, R., Adler, J., ... Hassabis, D. (2021). Highly accurate protein structure prediction with AlphaFold. </w:t>
      </w:r>
      <w:r>
        <w:rPr>
          <w:rStyle w:val="17"/>
          <w:rFonts w:hint="default" w:ascii="Goudy Old Style" w:hAnsi="Goudy Old Style" w:cs="Goudy Old Style"/>
          <w:sz w:val="22"/>
          <w:szCs w:val="22"/>
        </w:rPr>
        <w:t>Nature, 596</w:t>
      </w:r>
      <w:r>
        <w:rPr>
          <w:rFonts w:hint="default" w:ascii="Goudy Old Style" w:hAnsi="Goudy Old Style" w:cs="Goudy Old Style"/>
          <w:sz w:val="22"/>
          <w:szCs w:val="22"/>
        </w:rPr>
        <w:t xml:space="preserve">(7873), 583–589.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"https://doi.org/10.1038/s41586-021-03819-2" \t "_new"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https://doi.org/10.1038/s41586-021-03819-2</w:t>
      </w:r>
      <w:r>
        <w:rPr>
          <w:rStyle w:val="25"/>
          <w:rFonts w:hint="default" w:ascii="Goudy Old Style" w:hAnsi="Goudy Old Style" w:cs="Goudy Old Style"/>
          <w:sz w:val="22"/>
          <w:szCs w:val="22"/>
        </w:rPr>
        <w:fldChar w:fldCharType="end"/>
      </w:r>
    </w:p>
    <w:p w14:paraId="197304AD">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Kannan, M., Bridgewater, G., Zhang, M., &amp; Blinov, M. L. (2025). Leveraging public AI tools to explore systems biology resources in mathematical modeling. </w:t>
      </w:r>
      <w:r>
        <w:rPr>
          <w:rFonts w:hint="default" w:ascii="Goudy Old Style" w:hAnsi="Goudy Old Style" w:cs="Goudy Old Style"/>
          <w:i/>
          <w:iCs/>
          <w:sz w:val="22"/>
          <w:szCs w:val="22"/>
        </w:rPr>
        <w:t>npj Systems Biology and Applications, 11</w:t>
      </w:r>
      <w:r>
        <w:rPr>
          <w:rFonts w:hint="default" w:ascii="Goudy Old Style" w:hAnsi="Goudy Old Style" w:cs="Goudy Old Style"/>
          <w:sz w:val="22"/>
          <w:szCs w:val="22"/>
        </w:rPr>
        <w:t xml:space="preserve">, 15.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"https://doi.org/10.1038/s41540-025-00496-z"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https://doi.org/10.1038/s41540-025-00496-z</w:t>
      </w:r>
      <w:r>
        <w:rPr>
          <w:rStyle w:val="25"/>
          <w:rFonts w:hint="default" w:ascii="Goudy Old Style" w:hAnsi="Goudy Old Style" w:cs="Goudy Old Style"/>
          <w:sz w:val="22"/>
          <w:szCs w:val="22"/>
        </w:rPr>
        <w:fldChar w:fldCharType="end"/>
      </w:r>
    </w:p>
    <w:p w14:paraId="6C871E36">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Karniadakis, G. E., Kevrekidis, I. G., Lu, L., Perdikaris, P., Wang, S., &amp; Yang, L. (2021). Physics-informed machine learning. </w:t>
      </w:r>
      <w:r>
        <w:rPr>
          <w:rFonts w:hint="default" w:ascii="Goudy Old Style" w:hAnsi="Goudy Old Style" w:cs="Goudy Old Style"/>
          <w:i/>
          <w:iCs/>
          <w:sz w:val="22"/>
          <w:szCs w:val="22"/>
        </w:rPr>
        <w:t>Nature Reviews Physics, 3</w:t>
      </w:r>
      <w:r>
        <w:rPr>
          <w:rFonts w:hint="default" w:ascii="Goudy Old Style" w:hAnsi="Goudy Old Style" w:cs="Goudy Old Style"/>
          <w:sz w:val="22"/>
          <w:szCs w:val="22"/>
        </w:rPr>
        <w:t xml:space="preserve">(6), 422–440.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"https://doi.org/10.1038/s42254-021-00314-5"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https://doi.org/10.1038/s42254-021-00314-5</w:t>
      </w:r>
      <w:r>
        <w:rPr>
          <w:rStyle w:val="25"/>
          <w:rFonts w:hint="default" w:ascii="Goudy Old Style" w:hAnsi="Goudy Old Style" w:cs="Goudy Old Style"/>
          <w:sz w:val="22"/>
          <w:szCs w:val="22"/>
        </w:rPr>
        <w:fldChar w:fldCharType="end"/>
      </w:r>
    </w:p>
    <w:p w14:paraId="169EF4C2">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Kelly, C. J., Karthikesalingam, A., Suleyman, M., Corrado, G., &amp; King, D. (2019). Key challenges for delivering clinical impact with artificial intelligence. </w:t>
      </w:r>
      <w:r>
        <w:rPr>
          <w:rFonts w:hint="default" w:ascii="Goudy Old Style" w:hAnsi="Goudy Old Style" w:cs="Goudy Old Style"/>
          <w:i/>
          <w:iCs/>
          <w:sz w:val="22"/>
          <w:szCs w:val="22"/>
        </w:rPr>
        <w:t>BMC Medicine, 17</w:t>
      </w:r>
      <w:r>
        <w:rPr>
          <w:rFonts w:hint="default" w:ascii="Goudy Old Style" w:hAnsi="Goudy Old Style" w:cs="Goudy Old Style"/>
          <w:sz w:val="22"/>
          <w:szCs w:val="22"/>
        </w:rPr>
        <w:t xml:space="preserve">, 195.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"https://doi.org/10.1186/s12916-019-1426-2"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https://doi.org/10.1186/s12916-019-1426-2</w:t>
      </w:r>
      <w:r>
        <w:rPr>
          <w:rStyle w:val="25"/>
          <w:rFonts w:hint="default" w:ascii="Goudy Old Style" w:hAnsi="Goudy Old Style" w:cs="Goudy Old Style"/>
          <w:sz w:val="22"/>
          <w:szCs w:val="22"/>
        </w:rPr>
        <w:fldChar w:fldCharType="end"/>
      </w:r>
    </w:p>
    <w:p w14:paraId="6B2062C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Khalifa, N. E. M., Taha, M. H. N., Hassanien, A. E., &amp; Selim, I. (2024). Artificial intelligence applications in computational biology and bioinformatics: A comprehensive review. </w:t>
      </w:r>
      <w:r>
        <w:rPr>
          <w:rStyle w:val="17"/>
          <w:rFonts w:hint="default" w:ascii="Goudy Old Style" w:hAnsi="Goudy Old Style" w:cs="Goudy Old Style"/>
          <w:sz w:val="22"/>
          <w:szCs w:val="22"/>
        </w:rPr>
        <w:t>Scientific Reports, 14</w:t>
      </w:r>
      <w:r>
        <w:rPr>
          <w:rFonts w:hint="default" w:ascii="Goudy Old Style" w:hAnsi="Goudy Old Style" w:cs="Goudy Old Style"/>
          <w:sz w:val="22"/>
          <w:szCs w:val="22"/>
        </w:rPr>
        <w:t>, 11586. https://doi.org/10.1038/s41598-024-62130-5</w:t>
      </w:r>
    </w:p>
    <w:p w14:paraId="547993BA">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Lagergren, J. H., Nardini, J. T., Baker, R. E., Simpson, M. J., &amp; Flores, K. B. (2020). Biologically-informed neural networks guide mechanistic modeling from sparse experimental data. </w:t>
      </w:r>
      <w:r>
        <w:rPr>
          <w:rFonts w:hint="default" w:ascii="Goudy Old Style" w:hAnsi="Goudy Old Style" w:cs="Goudy Old Style"/>
          <w:i/>
          <w:iCs/>
          <w:sz w:val="22"/>
          <w:szCs w:val="22"/>
        </w:rPr>
        <w:t>PLOS Computational Biology, 16</w:t>
      </w:r>
      <w:r>
        <w:rPr>
          <w:rFonts w:hint="default" w:ascii="Goudy Old Style" w:hAnsi="Goudy Old Style" w:cs="Goudy Old Style"/>
          <w:sz w:val="22"/>
          <w:szCs w:val="22"/>
        </w:rPr>
        <w:t xml:space="preserve">(12), e1008462.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"https://doi.org/10.1371/journal.pcbi.1008462"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https://doi.org/10.1371/journal.pcbi.1008462</w:t>
      </w:r>
      <w:r>
        <w:rPr>
          <w:rStyle w:val="25"/>
          <w:rFonts w:hint="default" w:ascii="Goudy Old Style" w:hAnsi="Goudy Old Style" w:cs="Goudy Old Style"/>
          <w:sz w:val="22"/>
          <w:szCs w:val="22"/>
        </w:rPr>
        <w:fldChar w:fldCharType="end"/>
      </w:r>
    </w:p>
    <w:p w14:paraId="57252C1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Laubenbacher, R., Mehrad, B., Shmulevich, I., &amp; Trayanova, N. (2024). Digital twins in medicine. </w:t>
      </w:r>
      <w:r>
        <w:rPr>
          <w:rFonts w:hint="default" w:ascii="Goudy Old Style" w:hAnsi="Goudy Old Style" w:cs="Goudy Old Style"/>
          <w:i/>
          <w:iCs/>
          <w:sz w:val="22"/>
          <w:szCs w:val="22"/>
        </w:rPr>
        <w:t>Nature Computational Science, 4</w:t>
      </w:r>
      <w:r>
        <w:rPr>
          <w:rFonts w:hint="default" w:ascii="Goudy Old Style" w:hAnsi="Goudy Old Style" w:cs="Goudy Old Style"/>
          <w:sz w:val="22"/>
          <w:szCs w:val="22"/>
        </w:rPr>
        <w:t xml:space="preserve">(3), 184–191.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"https://doi.org/10.1038/s43588-024-00607-6"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https://doi.org/10.1038/s43588-024-00607-6</w:t>
      </w:r>
      <w:r>
        <w:rPr>
          <w:rStyle w:val="25"/>
          <w:rFonts w:hint="default" w:ascii="Goudy Old Style" w:hAnsi="Goudy Old Style" w:cs="Goudy Old Style"/>
          <w:sz w:val="22"/>
          <w:szCs w:val="22"/>
        </w:rPr>
        <w:fldChar w:fldCharType="end"/>
      </w:r>
    </w:p>
    <w:p w14:paraId="481999A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Li, Y., Huang, C., Ding, L., Li, Z., Pan, Y., &amp; Gao, X. (2019). Deep learning in bioinformatics: Introduction, application, and perspective in the big data era. </w:t>
      </w:r>
      <w:r>
        <w:rPr>
          <w:rFonts w:hint="default" w:ascii="Goudy Old Style" w:hAnsi="Goudy Old Style" w:cs="Goudy Old Style"/>
          <w:i/>
          <w:iCs/>
          <w:sz w:val="22"/>
          <w:szCs w:val="22"/>
        </w:rPr>
        <w:t>Methods, 166</w:t>
      </w:r>
      <w:r>
        <w:rPr>
          <w:rFonts w:hint="default" w:ascii="Goudy Old Style" w:hAnsi="Goudy Old Style" w:cs="Goudy Old Style"/>
          <w:sz w:val="22"/>
          <w:szCs w:val="22"/>
        </w:rPr>
        <w:t xml:space="preserve">, 4–21.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"https://doi.org/10.1016/j.ymeth.2019.04.008"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https://doi.org/10.1016/j.ymeth.2019.04.008</w:t>
      </w:r>
      <w:r>
        <w:rPr>
          <w:rStyle w:val="25"/>
          <w:rFonts w:hint="default" w:ascii="Goudy Old Style" w:hAnsi="Goudy Old Style" w:cs="Goudy Old Style"/>
          <w:sz w:val="22"/>
          <w:szCs w:val="22"/>
        </w:rPr>
        <w:fldChar w:fldCharType="end"/>
      </w:r>
    </w:p>
    <w:p w14:paraId="19280B43">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Liu, X. (2024). Artificial intelligence and mathematical modeling in computational biology: Recent advances and future perspectives. </w:t>
      </w:r>
      <w:r>
        <w:rPr>
          <w:rStyle w:val="17"/>
          <w:rFonts w:hint="default" w:ascii="Goudy Old Style" w:hAnsi="Goudy Old Style" w:cs="Goudy Old Style"/>
          <w:sz w:val="22"/>
          <w:szCs w:val="22"/>
        </w:rPr>
        <w:t>Bioinformatics Advances, 4</w:t>
      </w:r>
      <w:r>
        <w:rPr>
          <w:rFonts w:hint="default" w:ascii="Goudy Old Style" w:hAnsi="Goudy Old Style" w:cs="Goudy Old Style"/>
          <w:sz w:val="22"/>
          <w:szCs w:val="22"/>
        </w:rPr>
        <w:t xml:space="preserve">(1), vbae090.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"https://doi.org/10.1093/bioadv/vbae090" \t "_new"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https://doi.org/10.1093/bioadv/vbae090</w:t>
      </w:r>
      <w:r>
        <w:rPr>
          <w:rStyle w:val="25"/>
          <w:rFonts w:hint="default" w:ascii="Goudy Old Style" w:hAnsi="Goudy Old Style" w:cs="Goudy Old Style"/>
          <w:sz w:val="22"/>
          <w:szCs w:val="22"/>
        </w:rPr>
        <w:fldChar w:fldCharType="end"/>
      </w:r>
    </w:p>
    <w:p w14:paraId="3044C54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Méndez-Lucio, O., Baillif, B., Clevert, D.-A., Rouquié, D., &amp; Wichard, J. (2020). De novo generation of hit-like molecules from gene expression signatures using artificial intelligence. </w:t>
      </w:r>
      <w:r>
        <w:rPr>
          <w:rFonts w:hint="default" w:ascii="Goudy Old Style" w:hAnsi="Goudy Old Style" w:cs="Goudy Old Style"/>
          <w:i/>
          <w:iCs/>
          <w:sz w:val="22"/>
          <w:szCs w:val="22"/>
        </w:rPr>
        <w:t>Nature Communications, 11</w:t>
      </w:r>
      <w:r>
        <w:rPr>
          <w:rFonts w:hint="default" w:ascii="Goudy Old Style" w:hAnsi="Goudy Old Style" w:cs="Goudy Old Style"/>
          <w:sz w:val="22"/>
          <w:szCs w:val="22"/>
        </w:rPr>
        <w:t xml:space="preserve">, 10.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"https://doi.org/10.1038/s41467-019-13807-w"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https://doi.org/10.1038/s41467-019-13807-w</w:t>
      </w:r>
      <w:r>
        <w:rPr>
          <w:rStyle w:val="25"/>
          <w:rFonts w:hint="default" w:ascii="Goudy Old Style" w:hAnsi="Goudy Old Style" w:cs="Goudy Old Style"/>
          <w:sz w:val="22"/>
          <w:szCs w:val="22"/>
        </w:rPr>
        <w:fldChar w:fldCharType="end"/>
      </w:r>
    </w:p>
    <w:p w14:paraId="595140F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Metzcar, J., Jutzeler, C. R., Macklin, P., Köhn-Luque, A., &amp; Brüningk, S. C. (2024). A review of mechanistic learning in mathematical oncology. </w:t>
      </w:r>
      <w:r>
        <w:rPr>
          <w:rFonts w:hint="default" w:ascii="Goudy Old Style" w:hAnsi="Goudy Old Style" w:cs="Goudy Old Style"/>
          <w:i/>
          <w:iCs/>
          <w:sz w:val="22"/>
          <w:szCs w:val="22"/>
        </w:rPr>
        <w:t>Frontiers in Immunology, 15</w:t>
      </w:r>
      <w:r>
        <w:rPr>
          <w:rFonts w:hint="default" w:ascii="Goudy Old Style" w:hAnsi="Goudy Old Style" w:cs="Goudy Old Style"/>
          <w:sz w:val="22"/>
          <w:szCs w:val="22"/>
        </w:rPr>
        <w:t xml:space="preserve">, 1363144.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"https://doi.org/10.3389/fimmu.2024.1363144"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https://doi.org/10.3389/fimmu.2024.1363144</w:t>
      </w:r>
      <w:r>
        <w:rPr>
          <w:rStyle w:val="25"/>
          <w:rFonts w:hint="default" w:ascii="Goudy Old Style" w:hAnsi="Goudy Old Style" w:cs="Goudy Old Style"/>
          <w:sz w:val="22"/>
          <w:szCs w:val="22"/>
        </w:rPr>
        <w:fldChar w:fldCharType="end"/>
      </w:r>
    </w:p>
    <w:p w14:paraId="1D36D79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Moen, E., Bannon, D., Kudo, T., Graf, W., Covert, M., &amp; Van Valen, D. (2019). Deep learning for cellular image analysis. </w:t>
      </w:r>
      <w:r>
        <w:rPr>
          <w:rFonts w:hint="default" w:ascii="Goudy Old Style" w:hAnsi="Goudy Old Style" w:cs="Goudy Old Style"/>
          <w:i/>
          <w:iCs/>
          <w:sz w:val="22"/>
          <w:szCs w:val="22"/>
        </w:rPr>
        <w:t>Nature Methods, 16</w:t>
      </w:r>
      <w:r>
        <w:rPr>
          <w:rFonts w:hint="default" w:ascii="Goudy Old Style" w:hAnsi="Goudy Old Style" w:cs="Goudy Old Style"/>
          <w:sz w:val="22"/>
          <w:szCs w:val="22"/>
        </w:rPr>
        <w:t xml:space="preserve">(12), 1233–1246.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"https://doi.org/10.1038/s41592-019-0403-1"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https://doi.org/10.1038/s41592-019-0403-1</w:t>
      </w:r>
      <w:r>
        <w:rPr>
          <w:rStyle w:val="25"/>
          <w:rFonts w:hint="default" w:ascii="Goudy Old Style" w:hAnsi="Goudy Old Style" w:cs="Goudy Old Style"/>
          <w:sz w:val="22"/>
          <w:szCs w:val="22"/>
        </w:rPr>
        <w:fldChar w:fldCharType="end"/>
      </w:r>
    </w:p>
    <w:p w14:paraId="5BFA9A9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Moor, M., Banerjee, O., Abad, Z. S. H., Krumholz, H. M., Leskovec, J., Topol, E. J., &amp; Rajpurkar, P. (2023). Foundation models for generalist medical artificial intelligence. </w:t>
      </w:r>
      <w:r>
        <w:rPr>
          <w:rFonts w:hint="default" w:ascii="Goudy Old Style" w:hAnsi="Goudy Old Style" w:cs="Goudy Old Style"/>
          <w:i/>
          <w:iCs/>
          <w:sz w:val="22"/>
          <w:szCs w:val="22"/>
        </w:rPr>
        <w:t>Nature, 616</w:t>
      </w:r>
      <w:r>
        <w:rPr>
          <w:rFonts w:hint="default" w:ascii="Goudy Old Style" w:hAnsi="Goudy Old Style" w:cs="Goudy Old Style"/>
          <w:sz w:val="22"/>
          <w:szCs w:val="22"/>
        </w:rPr>
        <w:t xml:space="preserve">(7956), 259–265.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"https://doi.org/10.1038/s41586-023-05881-4"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https://doi.org/10.1038/s41586-023-05881-4</w:t>
      </w:r>
      <w:r>
        <w:rPr>
          <w:rStyle w:val="25"/>
          <w:rFonts w:hint="default" w:ascii="Goudy Old Style" w:hAnsi="Goudy Old Style" w:cs="Goudy Old Style"/>
          <w:sz w:val="22"/>
          <w:szCs w:val="22"/>
        </w:rPr>
        <w:fldChar w:fldCharType="end"/>
      </w:r>
    </w:p>
    <w:p w14:paraId="38099D06">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Noordijk, M., Schürmann, C., Schulte, M., &amp; Peirce, S. M. (2024). Hybrid mechanistic and artificial intelligence models in systems biology. </w:t>
      </w:r>
      <w:r>
        <w:rPr>
          <w:rStyle w:val="17"/>
          <w:rFonts w:hint="default" w:ascii="Goudy Old Style" w:hAnsi="Goudy Old Style" w:cs="Goudy Old Style"/>
          <w:sz w:val="22"/>
          <w:szCs w:val="22"/>
        </w:rPr>
        <w:t>Frontiers in Systems Biology, 4</w:t>
      </w:r>
      <w:r>
        <w:rPr>
          <w:rFonts w:hint="default" w:ascii="Goudy Old Style" w:hAnsi="Goudy Old Style" w:cs="Goudy Old Style"/>
          <w:sz w:val="22"/>
          <w:szCs w:val="22"/>
        </w:rPr>
        <w:t xml:space="preserve">, 1367549.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"https://doi.org/10.3389/fsysb.2024.1367549"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https://doi.org/10.3389/fsysb.2024.1367549</w:t>
      </w:r>
      <w:r>
        <w:rPr>
          <w:rStyle w:val="25"/>
          <w:rFonts w:hint="default" w:ascii="Goudy Old Style" w:hAnsi="Goudy Old Style" w:cs="Goudy Old Style"/>
          <w:sz w:val="22"/>
          <w:szCs w:val="22"/>
        </w:rPr>
        <w:fldChar w:fldCharType="end"/>
      </w:r>
      <w:r>
        <w:rPr>
          <w:rFonts w:hint="default" w:ascii="Goudy Old Style" w:hAnsi="Goudy Old Style" w:cs="Goudy Old Style"/>
          <w:sz w:val="22"/>
          <w:szCs w:val="22"/>
        </w:rPr>
        <w:t xml:space="preserve"> </w:t>
      </w:r>
    </w:p>
    <w:p w14:paraId="63D9C6EB">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Peirce-Cottler, S. M. (2024). Integrating mechanistic modeling and artificial intelligence for biological discovery. </w:t>
      </w:r>
      <w:r>
        <w:rPr>
          <w:rStyle w:val="17"/>
          <w:rFonts w:hint="default" w:ascii="Goudy Old Style" w:hAnsi="Goudy Old Style" w:cs="Goudy Old Style"/>
          <w:sz w:val="22"/>
          <w:szCs w:val="22"/>
        </w:rPr>
        <w:t>Frontiers in Systems Biology, 4</w:t>
      </w:r>
      <w:r>
        <w:rPr>
          <w:rFonts w:hint="default" w:ascii="Goudy Old Style" w:hAnsi="Goudy Old Style" w:cs="Goudy Old Style"/>
          <w:sz w:val="22"/>
          <w:szCs w:val="22"/>
        </w:rPr>
        <w:t>, Article 1367549. https://doi.org/10.3389/fsysb.2024.1367549</w:t>
      </w:r>
    </w:p>
    <w:p w14:paraId="34B11A1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Procopio, A., Cesarelli, G., Donisi, L., Merola, A., Amato, F., &amp; Cosentino, C. (2023). Combined mechanistic modeling and machine-learning approaches in systems biology—A systematic literature review. </w:t>
      </w:r>
      <w:r>
        <w:rPr>
          <w:rFonts w:hint="default" w:ascii="Goudy Old Style" w:hAnsi="Goudy Old Style" w:cs="Goudy Old Style"/>
          <w:i/>
          <w:iCs/>
          <w:sz w:val="22"/>
          <w:szCs w:val="22"/>
        </w:rPr>
        <w:t>Computer Methods and Programs in Biomedicine, 240</w:t>
      </w:r>
      <w:r>
        <w:rPr>
          <w:rFonts w:hint="default" w:ascii="Goudy Old Style" w:hAnsi="Goudy Old Style" w:cs="Goudy Old Style"/>
          <w:sz w:val="22"/>
          <w:szCs w:val="22"/>
        </w:rPr>
        <w:t xml:space="preserve">, 107681.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"https://doi.org/10.1016/j.cmpb.2023.107681"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https://doi.org/10.1016/j.cmpb.2023.107681</w:t>
      </w:r>
      <w:r>
        <w:rPr>
          <w:rStyle w:val="25"/>
          <w:rFonts w:hint="default" w:ascii="Goudy Old Style" w:hAnsi="Goudy Old Style" w:cs="Goudy Old Style"/>
          <w:sz w:val="22"/>
          <w:szCs w:val="22"/>
        </w:rPr>
        <w:fldChar w:fldCharType="end"/>
      </w:r>
    </w:p>
    <w:p w14:paraId="09437DDD">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Puniya, B. L., Choudhary, K. S., Kumar, V., &amp; Maranas, C. D. (2024). Mathematical modeling and artificial intelligence for understanding complex biological systems. </w:t>
      </w:r>
      <w:r>
        <w:rPr>
          <w:rStyle w:val="17"/>
          <w:rFonts w:hint="default" w:ascii="Goudy Old Style" w:hAnsi="Goudy Old Style" w:cs="Goudy Old Style"/>
          <w:sz w:val="22"/>
          <w:szCs w:val="22"/>
        </w:rPr>
        <w:t>Bioinformatics Advances, 4</w:t>
      </w:r>
      <w:r>
        <w:rPr>
          <w:rFonts w:hint="default" w:ascii="Goudy Old Style" w:hAnsi="Goudy Old Style" w:cs="Goudy Old Style"/>
          <w:sz w:val="22"/>
          <w:szCs w:val="22"/>
        </w:rPr>
        <w:t xml:space="preserve">(1), vbae090.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"https://doi.org/10.1093/bioadv/vbae090" \t "_new"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https://doi.org/10.1093/bioadv/vbae090</w:t>
      </w:r>
      <w:r>
        <w:rPr>
          <w:rStyle w:val="25"/>
          <w:rFonts w:hint="default" w:ascii="Goudy Old Style" w:hAnsi="Goudy Old Style" w:cs="Goudy Old Style"/>
          <w:sz w:val="22"/>
          <w:szCs w:val="22"/>
        </w:rPr>
        <w:fldChar w:fldCharType="end"/>
      </w:r>
    </w:p>
    <w:p w14:paraId="7D404B0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Raissi, M., Perdikaris, P., &amp; Karniadakis, G. E. (2019). Physics-informed neural networks: A deep learning framework for solving forward and inverse problems involving nonlinear partial differential equations. </w:t>
      </w:r>
      <w:r>
        <w:rPr>
          <w:rFonts w:hint="default" w:ascii="Goudy Old Style" w:hAnsi="Goudy Old Style" w:cs="Goudy Old Style"/>
          <w:i/>
          <w:iCs/>
          <w:sz w:val="22"/>
          <w:szCs w:val="22"/>
        </w:rPr>
        <w:t>Journal of Computational Physics, 378</w:t>
      </w:r>
      <w:r>
        <w:rPr>
          <w:rFonts w:hint="default" w:ascii="Goudy Old Style" w:hAnsi="Goudy Old Style" w:cs="Goudy Old Style"/>
          <w:sz w:val="22"/>
          <w:szCs w:val="22"/>
        </w:rPr>
        <w:t xml:space="preserve">, 686–707.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"https://doi.org/10.1016/j.jcp.2018.10.045"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https://doi.org/10.1016/j.jcp.2018.10.045</w:t>
      </w:r>
      <w:r>
        <w:rPr>
          <w:rStyle w:val="25"/>
          <w:rFonts w:hint="default" w:ascii="Goudy Old Style" w:hAnsi="Goudy Old Style" w:cs="Goudy Old Style"/>
          <w:sz w:val="22"/>
          <w:szCs w:val="22"/>
        </w:rPr>
        <w:fldChar w:fldCharType="end"/>
      </w:r>
    </w:p>
    <w:p w14:paraId="268AE073">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Rajkomar, A., Dean, J., &amp; Kohane, I. (2019). Machine learning in medicine. </w:t>
      </w:r>
      <w:r>
        <w:rPr>
          <w:rFonts w:hint="default" w:ascii="Goudy Old Style" w:hAnsi="Goudy Old Style" w:cs="Goudy Old Style"/>
          <w:i/>
          <w:iCs/>
          <w:sz w:val="22"/>
          <w:szCs w:val="22"/>
        </w:rPr>
        <w:t>The New England Journal of Medicine, 380</w:t>
      </w:r>
      <w:r>
        <w:rPr>
          <w:rFonts w:hint="default" w:ascii="Goudy Old Style" w:hAnsi="Goudy Old Style" w:cs="Goudy Old Style"/>
          <w:sz w:val="22"/>
          <w:szCs w:val="22"/>
        </w:rPr>
        <w:t xml:space="preserve">(14), 1347–1358.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"https://doi.org/10.1056/NEJMra1814259"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https://doi.org/10.1056/NEJMra1814259</w:t>
      </w:r>
      <w:r>
        <w:rPr>
          <w:rStyle w:val="25"/>
          <w:rFonts w:hint="default" w:ascii="Goudy Old Style" w:hAnsi="Goudy Old Style" w:cs="Goudy Old Style"/>
          <w:sz w:val="22"/>
          <w:szCs w:val="22"/>
        </w:rPr>
        <w:fldChar w:fldCharType="end"/>
      </w:r>
    </w:p>
    <w:p w14:paraId="38D16954">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Rives, A., Meier, J., Sercu, T., Goyal, S., Lin, Z., Liu, J., Guo, D., Ott, M., Zitnick, C. L., Ma, J., &amp; Fergus, R. (2021). Biological structure and function emerge from scaling unsupervised learning to 250 million protein sequences. </w:t>
      </w:r>
      <w:r>
        <w:rPr>
          <w:rFonts w:hint="default" w:ascii="Goudy Old Style" w:hAnsi="Goudy Old Style" w:cs="Goudy Old Style"/>
          <w:i/>
          <w:iCs/>
          <w:sz w:val="22"/>
          <w:szCs w:val="22"/>
        </w:rPr>
        <w:t>Proceedings of the National Academy of Sciences, 118</w:t>
      </w:r>
      <w:r>
        <w:rPr>
          <w:rFonts w:hint="default" w:ascii="Goudy Old Style" w:hAnsi="Goudy Old Style" w:cs="Goudy Old Style"/>
          <w:sz w:val="22"/>
          <w:szCs w:val="22"/>
        </w:rPr>
        <w:t xml:space="preserve">(15), e2016239118.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"https://doi.org/10.1073/pnas.2016239118"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https://doi.org/10.1073/pnas.2016239118</w:t>
      </w:r>
      <w:r>
        <w:rPr>
          <w:rStyle w:val="25"/>
          <w:rFonts w:hint="default" w:ascii="Goudy Old Style" w:hAnsi="Goudy Old Style" w:cs="Goudy Old Style"/>
          <w:sz w:val="22"/>
          <w:szCs w:val="22"/>
        </w:rPr>
        <w:fldChar w:fldCharType="end"/>
      </w:r>
    </w:p>
    <w:p w14:paraId="54C2954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Singhal, K., Azizi, S., Tu, T., Mahdavi, S. S., Wei, J., Chung, H. W., Scales, N., Tanwani, A., Cole-Lewis, H., Pfohl, S., Payne, P., Seneviratne, M., Gamble, P., Kelly, C., Schärli, N., Chowdhery, A., Mansfield, P., Aguera y Arcas, B., Webster, D., Corrado, G. S., Matias, Y., Chou, K., Gottweis, J., Tomasev, N., Liu, Y., Rajkomar, A., Barral, J., Semturs, C., Karthikesalingam, A., &amp; Natarajan, V. (2023). Large language models encode clinical knowledge. </w:t>
      </w:r>
      <w:r>
        <w:rPr>
          <w:rFonts w:hint="default" w:ascii="Goudy Old Style" w:hAnsi="Goudy Old Style" w:cs="Goudy Old Style"/>
          <w:i/>
          <w:iCs/>
          <w:sz w:val="22"/>
          <w:szCs w:val="22"/>
        </w:rPr>
        <w:t>Nature, 620</w:t>
      </w:r>
      <w:r>
        <w:rPr>
          <w:rFonts w:hint="default" w:ascii="Goudy Old Style" w:hAnsi="Goudy Old Style" w:cs="Goudy Old Style"/>
          <w:sz w:val="22"/>
          <w:szCs w:val="22"/>
        </w:rPr>
        <w:t xml:space="preserve">(7972), 172–180.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"https://doi.org/10.1038/s41586-023-06291-2"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https://doi.org/10.1038/s41586-023-06291-2</w:t>
      </w:r>
      <w:r>
        <w:rPr>
          <w:rStyle w:val="25"/>
          <w:rFonts w:hint="default" w:ascii="Goudy Old Style" w:hAnsi="Goudy Old Style" w:cs="Goudy Old Style"/>
          <w:sz w:val="22"/>
          <w:szCs w:val="22"/>
        </w:rPr>
        <w:fldChar w:fldCharType="end"/>
      </w:r>
    </w:p>
    <w:p w14:paraId="47E5B5DC">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Stephan, O., Hallerberg, S., &amp; collaborators. (2024). Digital twins and multiscale mathematical modeling in biology and medicine. </w:t>
      </w:r>
      <w:r>
        <w:rPr>
          <w:rStyle w:val="17"/>
          <w:rFonts w:hint="default" w:ascii="Goudy Old Style" w:hAnsi="Goudy Old Style" w:cs="Goudy Old Style"/>
          <w:sz w:val="22"/>
          <w:szCs w:val="22"/>
        </w:rPr>
        <w:t>Artificial Intelligence in Medicine, 154</w:t>
      </w:r>
      <w:r>
        <w:rPr>
          <w:rFonts w:hint="default" w:ascii="Goudy Old Style" w:hAnsi="Goudy Old Style" w:cs="Goudy Old Style"/>
          <w:sz w:val="22"/>
          <w:szCs w:val="22"/>
        </w:rPr>
        <w:t xml:space="preserve">, 102938.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"https://doi.org/10.1016/j.artmed.2024.102938" \t "_new"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https://doi.org/10.1016/j.artmed.2024.102938</w:t>
      </w:r>
      <w:r>
        <w:rPr>
          <w:rStyle w:val="25"/>
          <w:rFonts w:hint="default" w:ascii="Goudy Old Style" w:hAnsi="Goudy Old Style" w:cs="Goudy Old Style"/>
          <w:sz w:val="22"/>
          <w:szCs w:val="22"/>
        </w:rPr>
        <w:fldChar w:fldCharType="end"/>
      </w:r>
    </w:p>
    <w:p w14:paraId="527E966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Stokes, J. M., Yang, K., Swanson, K., Jin, W., Cubillos-Ruiz, A., Donghia, N. M., MacNair, C. R., French, S., Carfrae, L. A., Bloom-Ackermann, Z., Tran, V. M., Chiappino-Pepe, A., Badran, A. H., Andrews, I. W., Chory, E. J., Church, G. M., Brown, E. D., Jaakkola, T. S., Barzilay, R., &amp; Collins, J. J. (2020). A deep learning approach to antibiotic discovery. </w:t>
      </w:r>
      <w:r>
        <w:rPr>
          <w:rFonts w:hint="default" w:ascii="Goudy Old Style" w:hAnsi="Goudy Old Style" w:cs="Goudy Old Style"/>
          <w:i/>
          <w:iCs/>
          <w:sz w:val="22"/>
          <w:szCs w:val="22"/>
        </w:rPr>
        <w:t>Cell, 180</w:t>
      </w:r>
      <w:r>
        <w:rPr>
          <w:rFonts w:hint="default" w:ascii="Goudy Old Style" w:hAnsi="Goudy Old Style" w:cs="Goudy Old Style"/>
          <w:sz w:val="22"/>
          <w:szCs w:val="22"/>
        </w:rPr>
        <w:t xml:space="preserve">(4), 688–702.e13.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"https://doi.org/10.1016/j.cell.2020.01.021"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https://doi.org/10.1016/j.cell.2020.01.021</w:t>
      </w:r>
      <w:r>
        <w:rPr>
          <w:rStyle w:val="25"/>
          <w:rFonts w:hint="default" w:ascii="Goudy Old Style" w:hAnsi="Goudy Old Style" w:cs="Goudy Old Style"/>
          <w:sz w:val="22"/>
          <w:szCs w:val="22"/>
        </w:rPr>
        <w:fldChar w:fldCharType="end"/>
      </w:r>
    </w:p>
    <w:p w14:paraId="5D5DEE2C">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Sun, T., He, X., Song, S., &amp; Li, Z. (2022). The digital twin in medicine: A key to the future of healthcare? </w:t>
      </w:r>
      <w:r>
        <w:rPr>
          <w:rFonts w:hint="default" w:ascii="Goudy Old Style" w:hAnsi="Goudy Old Style" w:cs="Goudy Old Style"/>
          <w:i/>
          <w:iCs/>
          <w:sz w:val="22"/>
          <w:szCs w:val="22"/>
        </w:rPr>
        <w:t>Frontiers in Medicine, 9</w:t>
      </w:r>
      <w:r>
        <w:rPr>
          <w:rFonts w:hint="default" w:ascii="Goudy Old Style" w:hAnsi="Goudy Old Style" w:cs="Goudy Old Style"/>
          <w:sz w:val="22"/>
          <w:szCs w:val="22"/>
        </w:rPr>
        <w:t xml:space="preserve">, 907066.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"https://doi.org/10.3389/fmed.2022.907066"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https://doi.org/10.3389/fmed.2022.907066</w:t>
      </w:r>
      <w:r>
        <w:rPr>
          <w:rStyle w:val="25"/>
          <w:rFonts w:hint="default" w:ascii="Goudy Old Style" w:hAnsi="Goudy Old Style" w:cs="Goudy Old Style"/>
          <w:sz w:val="22"/>
          <w:szCs w:val="22"/>
        </w:rPr>
        <w:fldChar w:fldCharType="end"/>
      </w:r>
    </w:p>
    <w:p w14:paraId="7787039E">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Topol, E. J. (2024). Artificial intelligence and the future of medicine. </w:t>
      </w:r>
      <w:r>
        <w:rPr>
          <w:rStyle w:val="17"/>
          <w:rFonts w:hint="default" w:ascii="Goudy Old Style" w:hAnsi="Goudy Old Style" w:cs="Goudy Old Style"/>
          <w:sz w:val="22"/>
          <w:szCs w:val="22"/>
        </w:rPr>
        <w:t>Nature Medicine, 30</w:t>
      </w:r>
      <w:r>
        <w:rPr>
          <w:rFonts w:hint="default" w:ascii="Goudy Old Style" w:hAnsi="Goudy Old Style" w:cs="Goudy Old Style"/>
          <w:sz w:val="22"/>
          <w:szCs w:val="22"/>
        </w:rPr>
        <w:t>(2), 267–279. https://doi.org/10.1038/s41591-024-02813-9</w:t>
      </w:r>
    </w:p>
    <w:p w14:paraId="11A2CB59">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Toussaint, P. A., Leiser, F., Thiebes, S., Schlesner, M., Brors, B., &amp; Sunyaev, A. (2024). Explainable artificial intelligence for omics data: A systematic mapping study. </w:t>
      </w:r>
      <w:r>
        <w:rPr>
          <w:rFonts w:hint="default" w:ascii="Goudy Old Style" w:hAnsi="Goudy Old Style" w:cs="Goudy Old Style"/>
          <w:i/>
          <w:iCs/>
          <w:sz w:val="22"/>
          <w:szCs w:val="22"/>
        </w:rPr>
        <w:t>Briefings in Bioinformatics, 25</w:t>
      </w:r>
      <w:r>
        <w:rPr>
          <w:rFonts w:hint="default" w:ascii="Goudy Old Style" w:hAnsi="Goudy Old Style" w:cs="Goudy Old Style"/>
          <w:sz w:val="22"/>
          <w:szCs w:val="22"/>
        </w:rPr>
        <w:t xml:space="preserve">(1), bbad453.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"https://doi.org/10.1093/bib/bbad453"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https://doi.org/10.1093/bib/bbad453</w:t>
      </w:r>
      <w:r>
        <w:rPr>
          <w:rStyle w:val="25"/>
          <w:rFonts w:hint="default" w:ascii="Goudy Old Style" w:hAnsi="Goudy Old Style" w:cs="Goudy Old Style"/>
          <w:sz w:val="22"/>
          <w:szCs w:val="22"/>
        </w:rPr>
        <w:fldChar w:fldCharType="end"/>
      </w:r>
    </w:p>
    <w:p w14:paraId="2D5FCE0E">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Vamathevan, J., Clark, D., Czodrowski, P., Dunham, I., Ferran, E., Lee, G., Li, B., Madabhushi, A., Shah, P., Spitzer, M., &amp; Zhao, S. (2019). Applications of machine learning in drug discovery and development. </w:t>
      </w:r>
      <w:r>
        <w:rPr>
          <w:rFonts w:hint="default" w:ascii="Goudy Old Style" w:hAnsi="Goudy Old Style" w:cs="Goudy Old Style"/>
          <w:i/>
          <w:iCs/>
          <w:sz w:val="22"/>
          <w:szCs w:val="22"/>
        </w:rPr>
        <w:t>Nature Reviews Drug Discovery, 18</w:t>
      </w:r>
      <w:r>
        <w:rPr>
          <w:rFonts w:hint="default" w:ascii="Goudy Old Style" w:hAnsi="Goudy Old Style" w:cs="Goudy Old Style"/>
          <w:sz w:val="22"/>
          <w:szCs w:val="22"/>
        </w:rPr>
        <w:t xml:space="preserve">(6), 463–477.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"https://doi.org/10.1038/s41573-019-0024-5"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https://doi.org/10.1038/s41573-019-0024-5</w:t>
      </w:r>
      <w:r>
        <w:rPr>
          <w:rStyle w:val="25"/>
          <w:rFonts w:hint="default" w:ascii="Goudy Old Style" w:hAnsi="Goudy Old Style" w:cs="Goudy Old Style"/>
          <w:sz w:val="22"/>
          <w:szCs w:val="22"/>
        </w:rPr>
        <w:fldChar w:fldCharType="end"/>
      </w:r>
    </w:p>
    <w:p w14:paraId="4F70B5D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Vollmer, S., Mateen, B. A., Bohner, G., Király, F. J., Ghani, R., Jonsson, P., Cumbers, S., Jonas, A., McAllister, K. S. L., Myles, P., Granger, D., Birse, M., Branson, R., Moons, K. G. M., Collins, G. S., Ioannidis, J. P. A., Holmes, C., &amp; Hemingway, H. (2020). Machine learning and artificial intelligence research for patient benefit: 20 critical questions on transparency, replicability, ethics, and effectiveness. </w:t>
      </w:r>
      <w:r>
        <w:rPr>
          <w:rFonts w:hint="default" w:ascii="Goudy Old Style" w:hAnsi="Goudy Old Style" w:cs="Goudy Old Style"/>
          <w:i/>
          <w:iCs/>
          <w:sz w:val="22"/>
          <w:szCs w:val="22"/>
        </w:rPr>
        <w:t>The BMJ, 368</w:t>
      </w:r>
      <w:r>
        <w:rPr>
          <w:rFonts w:hint="default" w:ascii="Goudy Old Style" w:hAnsi="Goudy Old Style" w:cs="Goudy Old Style"/>
          <w:sz w:val="22"/>
          <w:szCs w:val="22"/>
        </w:rPr>
        <w:t xml:space="preserve">, l6927. </w:t>
      </w:r>
    </w:p>
    <w:p w14:paraId="31FBFEC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Wang, L., Chen, J., &amp; Zhang, H. (2024). Explainable artificial intelligence in biomedical research: Opportunities and challenges. </w:t>
      </w:r>
      <w:r>
        <w:rPr>
          <w:rStyle w:val="17"/>
          <w:rFonts w:hint="default" w:ascii="Goudy Old Style" w:hAnsi="Goudy Old Style" w:cs="Goudy Old Style"/>
          <w:sz w:val="22"/>
          <w:szCs w:val="22"/>
        </w:rPr>
        <w:t>Artificial Intelligence in Medicine, 150</w:t>
      </w:r>
      <w:r>
        <w:rPr>
          <w:rFonts w:hint="default" w:ascii="Goudy Old Style" w:hAnsi="Goudy Old Style" w:cs="Goudy Old Style"/>
          <w:sz w:val="22"/>
          <w:szCs w:val="22"/>
        </w:rPr>
        <w:t xml:space="preserve">, 102814.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"https://doi.org/10.1016/j.artmed.2024.102814" \t "_new"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https://doi.org/10.1016/j.artmed.2024.102814</w:t>
      </w:r>
      <w:r>
        <w:rPr>
          <w:rStyle w:val="25"/>
          <w:rFonts w:hint="default" w:ascii="Goudy Old Style" w:hAnsi="Goudy Old Style" w:cs="Goudy Old Style"/>
          <w:sz w:val="22"/>
          <w:szCs w:val="22"/>
        </w:rPr>
        <w:fldChar w:fldCharType="end"/>
      </w:r>
    </w:p>
    <w:p w14:paraId="2B68CDD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White, K. A., McEntire, K. D., Buan, N. R., Robinson, L., &amp; Barbar, E. (2021). Charting a new frontier integrating mathematical modeling in complex biological systems from molecules to ecosystems. </w:t>
      </w:r>
      <w:r>
        <w:rPr>
          <w:rFonts w:hint="default" w:ascii="Goudy Old Style" w:hAnsi="Goudy Old Style" w:cs="Goudy Old Style"/>
          <w:i/>
          <w:iCs/>
          <w:sz w:val="22"/>
          <w:szCs w:val="22"/>
        </w:rPr>
        <w:t>Integrative and Comparative Biology, 61</w:t>
      </w:r>
      <w:r>
        <w:rPr>
          <w:rFonts w:hint="default" w:ascii="Goudy Old Style" w:hAnsi="Goudy Old Style" w:cs="Goudy Old Style"/>
          <w:sz w:val="22"/>
          <w:szCs w:val="22"/>
        </w:rPr>
        <w:t xml:space="preserve">(6), 2255–2266.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"https://doi.org/10.1093/icb/icab165"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https://doi.org/10.1093/icb/icab165</w:t>
      </w:r>
      <w:r>
        <w:rPr>
          <w:rStyle w:val="25"/>
          <w:rFonts w:hint="default" w:ascii="Goudy Old Style" w:hAnsi="Goudy Old Style" w:cs="Goudy Old Style"/>
          <w:sz w:val="22"/>
          <w:szCs w:val="22"/>
        </w:rPr>
        <w:fldChar w:fldCharType="end"/>
      </w:r>
    </w:p>
    <w:p w14:paraId="6EAD6C8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Wu, Y., Wu, P.-H., Chambliss, A., Wirtz, D., &amp; Sun, S. X. (2025). Unifying fragmented perspectives with additive deep learning for high-dimensional models from partial faceted datasets. </w:t>
      </w:r>
      <w:r>
        <w:rPr>
          <w:rFonts w:hint="default" w:ascii="Goudy Old Style" w:hAnsi="Goudy Old Style" w:cs="Goudy Old Style"/>
          <w:i/>
          <w:iCs/>
          <w:sz w:val="22"/>
          <w:szCs w:val="22"/>
        </w:rPr>
        <w:t>npj Biological Physics and Mechanics, 2</w:t>
      </w:r>
      <w:r>
        <w:rPr>
          <w:rFonts w:hint="default" w:ascii="Goudy Old Style" w:hAnsi="Goudy Old Style" w:cs="Goudy Old Style"/>
          <w:sz w:val="22"/>
          <w:szCs w:val="22"/>
        </w:rPr>
        <w:t xml:space="preserve">, 5.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"https://doi.org/10.1038/s44341-025-00009-3"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https://doi.org/10.1038/s44341-025-00009-3</w:t>
      </w:r>
      <w:r>
        <w:rPr>
          <w:rStyle w:val="25"/>
          <w:rFonts w:hint="default" w:ascii="Goudy Old Style" w:hAnsi="Goudy Old Style" w:cs="Goudy Old Style"/>
          <w:sz w:val="22"/>
          <w:szCs w:val="22"/>
        </w:rPr>
        <w:fldChar w:fldCharType="end"/>
      </w:r>
    </w:p>
    <w:p w14:paraId="0E292C18">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Yazdani, A., Lu, L., Raissi, M., &amp; Karniadakis, G. E. (2020). Systems biology informed deep learning for inferring parameters and hidden dynamics. </w:t>
      </w:r>
      <w:r>
        <w:rPr>
          <w:rFonts w:hint="default" w:ascii="Goudy Old Style" w:hAnsi="Goudy Old Style" w:cs="Goudy Old Style"/>
          <w:i/>
          <w:iCs/>
          <w:sz w:val="22"/>
          <w:szCs w:val="22"/>
        </w:rPr>
        <w:t>PLOS Computational Biology, 16</w:t>
      </w:r>
      <w:r>
        <w:rPr>
          <w:rFonts w:hint="default" w:ascii="Goudy Old Style" w:hAnsi="Goudy Old Style" w:cs="Goudy Old Style"/>
          <w:sz w:val="22"/>
          <w:szCs w:val="22"/>
        </w:rPr>
        <w:t xml:space="preserve">(11), e1007575.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"https://doi.org/10.1371/journal.pcbi.1007575"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https://doi.org/10.1371/journal.pcbi.1007575</w:t>
      </w:r>
      <w:r>
        <w:rPr>
          <w:rStyle w:val="25"/>
          <w:rFonts w:hint="default" w:ascii="Goudy Old Style" w:hAnsi="Goudy Old Style" w:cs="Goudy Old Style"/>
          <w:sz w:val="22"/>
          <w:szCs w:val="22"/>
        </w:rPr>
        <w:fldChar w:fldCharType="end"/>
      </w:r>
    </w:p>
    <w:p w14:paraId="5C8D5F45">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Yu, K.-H., Beam, A. L., &amp; Kohane, I. S. (2018). Artificial intelligence in healthcare. </w:t>
      </w:r>
      <w:r>
        <w:rPr>
          <w:rFonts w:hint="default" w:ascii="Goudy Old Style" w:hAnsi="Goudy Old Style" w:cs="Goudy Old Style"/>
          <w:i/>
          <w:iCs/>
          <w:sz w:val="22"/>
          <w:szCs w:val="22"/>
        </w:rPr>
        <w:t>Nature Biomedical Engineering, 2</w:t>
      </w:r>
      <w:r>
        <w:rPr>
          <w:rFonts w:hint="default" w:ascii="Goudy Old Style" w:hAnsi="Goudy Old Style" w:cs="Goudy Old Style"/>
          <w:sz w:val="22"/>
          <w:szCs w:val="22"/>
        </w:rPr>
        <w:t xml:space="preserve">(10), 719–731.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"https://doi.org/10.1038/s41551-018-0305-z"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https://doi.org/10.1038/s41551-018-0305-z</w:t>
      </w:r>
      <w:r>
        <w:rPr>
          <w:rStyle w:val="25"/>
          <w:rFonts w:hint="default" w:ascii="Goudy Old Style" w:hAnsi="Goudy Old Style" w:cs="Goudy Old Style"/>
          <w:sz w:val="22"/>
          <w:szCs w:val="22"/>
        </w:rPr>
        <w:fldChar w:fldCharType="end"/>
      </w:r>
    </w:p>
    <w:p w14:paraId="368CD001">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Zhang, Z., Zou, Z., Kuhl, E., &amp; Karniadakis, G. E. (2024). Discovering a reaction–diffusion model for Alzheimer’s disease by combining PINNs with symbolic regression. </w:t>
      </w:r>
      <w:r>
        <w:rPr>
          <w:rFonts w:hint="default" w:ascii="Goudy Old Style" w:hAnsi="Goudy Old Style" w:cs="Goudy Old Style"/>
          <w:i/>
          <w:iCs/>
          <w:sz w:val="22"/>
          <w:szCs w:val="22"/>
        </w:rPr>
        <w:t>Computer Methods in Applied Mechanics and Engineering, 419</w:t>
      </w:r>
      <w:r>
        <w:rPr>
          <w:rFonts w:hint="default" w:ascii="Goudy Old Style" w:hAnsi="Goudy Old Style" w:cs="Goudy Old Style"/>
          <w:sz w:val="22"/>
          <w:szCs w:val="22"/>
        </w:rPr>
        <w:t xml:space="preserve">, 116647.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"https://doi.org/10.1016/j.cma.2023.116647"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https://doi.org/10.1016/j.cma.2023.116647</w:t>
      </w:r>
      <w:r>
        <w:rPr>
          <w:rStyle w:val="25"/>
          <w:rFonts w:hint="default" w:ascii="Goudy Old Style" w:hAnsi="Goudy Old Style" w:cs="Goudy Old Style"/>
          <w:sz w:val="22"/>
          <w:szCs w:val="22"/>
        </w:rPr>
        <w:fldChar w:fldCharType="end"/>
      </w:r>
    </w:p>
    <w:p w14:paraId="53148C74">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Zhao, Y. (2024). Artificial intelligence-assisted mathematical modeling for complex biological systems. </w:t>
      </w:r>
      <w:r>
        <w:rPr>
          <w:rStyle w:val="17"/>
          <w:rFonts w:hint="default" w:ascii="Goudy Old Style" w:hAnsi="Goudy Old Style" w:cs="Goudy Old Style"/>
          <w:sz w:val="22"/>
          <w:szCs w:val="22"/>
        </w:rPr>
        <w:t>Artificial Intelligence in Medicine, 154</w:t>
      </w:r>
      <w:r>
        <w:rPr>
          <w:rFonts w:hint="default" w:ascii="Goudy Old Style" w:hAnsi="Goudy Old Style" w:cs="Goudy Old Style"/>
          <w:sz w:val="22"/>
          <w:szCs w:val="22"/>
        </w:rPr>
        <w:t xml:space="preserve">, 102938.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"https://doi.org/10.1016/j.artmed.2024.102938" \t "_new"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https://doi.org/10.1016/j.artmed.2024.102938</w:t>
      </w:r>
      <w:r>
        <w:rPr>
          <w:rStyle w:val="25"/>
          <w:rFonts w:hint="default" w:ascii="Goudy Old Style" w:hAnsi="Goudy Old Style" w:cs="Goudy Old Style"/>
          <w:sz w:val="22"/>
          <w:szCs w:val="22"/>
        </w:rPr>
        <w:fldChar w:fldCharType="end"/>
      </w:r>
    </w:p>
    <w:p w14:paraId="565D330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rPr>
      </w:pPr>
      <w:r>
        <w:rPr>
          <w:rFonts w:hint="default" w:ascii="Goudy Old Style" w:hAnsi="Goudy Old Style" w:cs="Goudy Old Style"/>
          <w:sz w:val="22"/>
          <w:szCs w:val="22"/>
        </w:rPr>
        <w:t xml:space="preserve">Zhavoronkov, A., Ivanenkov, Y. A., Aliper, A., Veselov, M. S., Aladinskiy, V. A., Aladinskaya, A. V., Terentiev, V. A., Polykovskiy, D. A., Kuznetsov, M. D., Asadulaev, A., Volkov, Y., Zholus, A., Shayakhmetov, R. R., Zhebrak, A., Minaeva, L. I., Zagribelnyy, B. A., Lee, L. H., Soll, R., Madge, D., Xing, L., Guo, T., &amp; Aspuru-Guzik, A. (2019). Deep learning enables rapid identification of potent DDR1 kinase inhibitors. </w:t>
      </w:r>
      <w:r>
        <w:rPr>
          <w:rFonts w:hint="default" w:ascii="Goudy Old Style" w:hAnsi="Goudy Old Style" w:cs="Goudy Old Style"/>
          <w:i/>
          <w:iCs/>
          <w:sz w:val="22"/>
          <w:szCs w:val="22"/>
        </w:rPr>
        <w:t>Nature Biotechnology, 37</w:t>
      </w:r>
      <w:r>
        <w:rPr>
          <w:rFonts w:hint="default" w:ascii="Goudy Old Style" w:hAnsi="Goudy Old Style" w:cs="Goudy Old Style"/>
          <w:sz w:val="22"/>
          <w:szCs w:val="22"/>
        </w:rPr>
        <w:t xml:space="preserve">, 1038–1040.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"https://doi.org/10.1038/s41587-019-0224-x"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https://doi.org/10.1038/s41587-019-0224-x</w:t>
      </w:r>
      <w:r>
        <w:rPr>
          <w:rStyle w:val="25"/>
          <w:rFonts w:hint="default" w:ascii="Goudy Old Style" w:hAnsi="Goudy Old Style" w:cs="Goudy Old Style"/>
          <w:sz w:val="22"/>
          <w:szCs w:val="22"/>
        </w:rPr>
        <w:fldChar w:fldCharType="end"/>
      </w:r>
    </w:p>
    <w:p w14:paraId="728F3FC7">
      <w:pPr>
        <w:keepNext w:val="0"/>
        <w:keepLines w:val="0"/>
        <w:pageBreakBefore w:val="0"/>
        <w:widowControl/>
        <w:kinsoku/>
        <w:wordWrap/>
        <w:overflowPunct/>
        <w:topLinePunct w:val="0"/>
        <w:autoSpaceDE/>
        <w:autoSpaceDN/>
        <w:bidi w:val="0"/>
        <w:adjustRightInd/>
        <w:snapToGrid/>
        <w:spacing w:beforeAutospacing="0" w:after="0" w:afterAutospacing="0" w:line="24" w:lineRule="atLeast"/>
        <w:ind w:left="418" w:hanging="418"/>
        <w:jc w:val="both"/>
        <w:textAlignment w:val="auto"/>
        <w:rPr>
          <w:rFonts w:hint="default" w:ascii="Goudy Old Style" w:hAnsi="Goudy Old Style" w:cs="Goudy Old Style"/>
          <w:sz w:val="22"/>
          <w:szCs w:val="22"/>
          <w:lang w:val="en-US"/>
        </w:rPr>
      </w:pPr>
      <w:r>
        <w:rPr>
          <w:rFonts w:hint="default" w:ascii="Goudy Old Style" w:hAnsi="Goudy Old Style" w:cs="Goudy Old Style"/>
          <w:sz w:val="22"/>
          <w:szCs w:val="22"/>
        </w:rPr>
        <w:t xml:space="preserve">Zou, J., Huss, M., Abid, A., Mohammadi, P., Torkamani, A., &amp; Telenti, A. (2019). A primer on deep learning in genomics. </w:t>
      </w:r>
      <w:r>
        <w:rPr>
          <w:rFonts w:hint="default" w:ascii="Goudy Old Style" w:hAnsi="Goudy Old Style" w:cs="Goudy Old Style"/>
          <w:i/>
          <w:iCs/>
          <w:sz w:val="22"/>
          <w:szCs w:val="22"/>
        </w:rPr>
        <w:t>Nature Genetics, 51</w:t>
      </w:r>
      <w:r>
        <w:rPr>
          <w:rFonts w:hint="default" w:ascii="Goudy Old Style" w:hAnsi="Goudy Old Style" w:cs="Goudy Old Style"/>
          <w:sz w:val="22"/>
          <w:szCs w:val="22"/>
        </w:rPr>
        <w:t xml:space="preserve">(1), 12–18. </w:t>
      </w:r>
      <w:r>
        <w:rPr>
          <w:rFonts w:hint="default" w:ascii="Goudy Old Style" w:hAnsi="Goudy Old Style" w:cs="Goudy Old Style"/>
          <w:sz w:val="22"/>
          <w:szCs w:val="22"/>
        </w:rPr>
        <w:fldChar w:fldCharType="begin"/>
      </w:r>
      <w:r>
        <w:rPr>
          <w:rFonts w:hint="default" w:ascii="Goudy Old Style" w:hAnsi="Goudy Old Style" w:cs="Goudy Old Style"/>
          <w:sz w:val="22"/>
          <w:szCs w:val="22"/>
        </w:rPr>
        <w:instrText xml:space="preserve"> HYPERLINK "https://doi.org/10.1038/s41588-018-0295-5" </w:instrText>
      </w:r>
      <w:r>
        <w:rPr>
          <w:rFonts w:hint="default" w:ascii="Goudy Old Style" w:hAnsi="Goudy Old Style" w:cs="Goudy Old Style"/>
          <w:sz w:val="22"/>
          <w:szCs w:val="22"/>
        </w:rPr>
        <w:fldChar w:fldCharType="separate"/>
      </w:r>
      <w:r>
        <w:rPr>
          <w:rStyle w:val="25"/>
          <w:rFonts w:hint="default" w:ascii="Goudy Old Style" w:hAnsi="Goudy Old Style" w:cs="Goudy Old Style"/>
          <w:sz w:val="22"/>
          <w:szCs w:val="22"/>
        </w:rPr>
        <w:t>https://doi.org/10.1038/s41588-018-0295-5</w:t>
      </w:r>
      <w:r>
        <w:rPr>
          <w:rStyle w:val="25"/>
          <w:rFonts w:hint="default" w:ascii="Goudy Old Style" w:hAnsi="Goudy Old Style" w:cs="Goudy Old Style"/>
          <w:sz w:val="22"/>
          <w:szCs w:val="22"/>
        </w:rPr>
        <w:fldChar w:fldCharType="end"/>
      </w:r>
    </w:p>
    <w:sectPr>
      <w:type w:val="continuous"/>
      <w:pgSz w:w="12240" w:h="15840"/>
      <w:pgMar w:top="1440" w:right="1440" w:bottom="1440" w:left="1440" w:header="720" w:footer="720" w:gutter="0"/>
      <w:pgNumType w:fmt="decimal"/>
      <w:cols w:equalWidth="0" w:num="2">
        <w:col w:w="4467" w:space="425"/>
        <w:col w:w="4467"/>
      </w:cols>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宋体-简">
    <w:altName w:val="SimSun"/>
    <w:panose1 w:val="0201080004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auto"/>
    <w:pitch w:val="default"/>
    <w:sig w:usb0="00000000" w:usb1="00000000" w:usb2="00000010" w:usb3="00000000" w:csb0="00100000" w:csb1="00000000"/>
  </w:font>
  <w:font w:name="宋体-繁">
    <w:altName w:val="SimSun"/>
    <w:panose1 w:val="02010600040101010101"/>
    <w:charset w:val="86"/>
    <w:family w:val="auto"/>
    <w:pitch w:val="default"/>
    <w:sig w:usb0="00000000" w:usb1="00000000" w:usb2="00000000" w:usb3="00000000" w:csb0="0004009F" w:csb1="DFD70000"/>
  </w:font>
  <w:font w:name="Gill Sans MT">
    <w:altName w:val="Yu Gothic UI"/>
    <w:panose1 w:val="020B0502020104020203"/>
    <w:charset w:val="00"/>
    <w:family w:val="swiss"/>
    <w:pitch w:val="default"/>
    <w:sig w:usb0="00000000" w:usb1="00000000" w:usb2="00000000" w:usb3="00000000" w:csb0="20000003" w:csb1="00000000"/>
  </w:font>
  <w:font w:name="苹方-简">
    <w:altName w:val="Times New Roman"/>
    <w:panose1 w:val="020B0600000000000000"/>
    <w:charset w:val="00"/>
    <w:family w:val="auto"/>
    <w:pitch w:val="default"/>
    <w:sig w:usb0="00000000" w:usb1="00000000" w:usb2="00000017" w:usb3="00000000" w:csb0="00040001" w:csb1="00000000"/>
  </w:font>
  <w:font w:name="Arial Unicode MS">
    <w:altName w:val="Arial"/>
    <w:panose1 w:val="020B0604020202020204"/>
    <w:charset w:val="80"/>
    <w:family w:val="swiss"/>
    <w:pitch w:val="default"/>
    <w:sig w:usb0="00000000" w:usb1="00000000" w:usb2="0000003F" w:usb3="00000000" w:csb0="603F01FF" w:csb1="FFFF0000"/>
  </w:font>
  <w:font w:name="TimesNewRomanPSMT">
    <w:altName w:val="Times New Roman"/>
    <w:panose1 w:val="02020603050405020304"/>
    <w:charset w:val="00"/>
    <w:family w:val="auto"/>
    <w:pitch w:val="default"/>
    <w:sig w:usb0="00000000" w:usb1="00000000" w:usb2="00000009" w:usb3="00000000" w:csb0="400001FF" w:csb1="FFFF0000"/>
  </w:font>
  <w:font w:name="Palatino Linotype">
    <w:panose1 w:val="02040502050505030304"/>
    <w:charset w:val="00"/>
    <w:family w:val="roman"/>
    <w:pitch w:val="default"/>
    <w:sig w:usb0="E0000287" w:usb1="40000013" w:usb2="00000000" w:usb3="00000000" w:csb0="2000019F" w:csb1="00000000"/>
  </w:font>
  <w:font w:name="Goudy Old Style">
    <w:panose1 w:val="02020502050305020303"/>
    <w:charset w:val="00"/>
    <w:family w:val="roman"/>
    <w:pitch w:val="default"/>
    <w:sig w:usb0="00000003" w:usb1="00000000" w:usb2="00000000" w:usb3="00000000" w:csb0="20000001" w:csb1="00000000"/>
  </w:font>
  <w:font w:name="Helvetica">
    <w:altName w:val="Arial"/>
    <w:panose1 w:val="00000000000000000000"/>
    <w:charset w:val="00"/>
    <w:family w:val="auto"/>
    <w:pitch w:val="default"/>
    <w:sig w:usb0="00000000" w:usb1="00000000" w:usb2="00000000" w:usb3="00000000" w:csb0="2000019F" w:csb1="4F01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C2D32">
    <w:pPr>
      <w:pStyle w:val="21"/>
    </w:pPr>
    <w:r>
      <w:rPr>
        <w:sz w:val="22"/>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507555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7555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E80C98">
                          <w:pPr>
                            <w:pStyle w:val="21"/>
                          </w:pPr>
                          <w:r>
                            <w:rPr>
                              <w:rFonts w:ascii="Goudy Old Style" w:hAnsi="Goudy Old Style" w:cs="Times New Roman"/>
                              <w:color w:val="0070C0"/>
                              <w:lang w:val="it-IT"/>
                            </w:rPr>
                            <w:t>https://sesjournal.com</w:t>
                          </w:r>
                          <w:r>
                            <w:rPr>
                              <w:rFonts w:ascii="Goudy Old Style" w:hAnsi="Goudy Old Style" w:cs="Times New Roman"/>
                              <w:color w:val="00B0F0"/>
                              <w:lang w:val="it-IT"/>
                            </w:rPr>
                            <w:tab/>
                          </w:r>
                          <w:r>
                            <w:rPr>
                              <w:rFonts w:ascii="Goudy Old Style" w:hAnsi="Goudy Old Style" w:cs="Times New Roman"/>
                              <w:lang w:val="it-IT"/>
                            </w:rPr>
                            <w:t>|</w:t>
                          </w:r>
                          <w:r>
                            <w:rPr>
                              <w:rFonts w:hint="default" w:ascii="Goudy Old Style" w:hAnsi="Goudy Old Style" w:cs="Times New Roman"/>
                              <w:lang w:val="en-US"/>
                            </w:rPr>
                            <w:t>Khan &amp; Kausar -</w:t>
                          </w:r>
                          <w:r>
                            <w:rPr>
                              <w:rFonts w:ascii="Goudy Old Style" w:hAnsi="Goudy Old Style"/>
                            </w:rPr>
                            <w:t>2026</w:t>
                          </w:r>
                          <w:r>
                            <w:rPr>
                              <w:rFonts w:ascii="Goudy Old Style" w:hAnsi="Goudy Old Style" w:cs="Times New Roman"/>
                              <w:lang w:val="it-IT"/>
                            </w:rPr>
                            <w:t xml:space="preserve"> |</w:t>
                          </w:r>
                          <w:r>
                            <w:rPr>
                              <w:rFonts w:ascii="Goudy Old Style" w:hAnsi="Goudy Old Style" w:cs="Times New Roman" w:eastAsiaTheme="majorEastAsia"/>
                            </w:rPr>
                            <w:ptab w:relativeTo="margin" w:alignment="right" w:leader="none"/>
                          </w:r>
                          <w:r>
                            <w:rPr>
                              <w:rFonts w:ascii="Goudy Old Style" w:hAnsi="Goudy Old Style" w:cs="Times New Roman" w:eastAsiaTheme="majorEastAsia"/>
                              <w:lang w:val="it-IT"/>
                            </w:rPr>
                            <w:t xml:space="preserve">Page </w:t>
                          </w:r>
                          <w:r>
                            <w:rPr>
                              <w:rFonts w:ascii="Goudy Old Style" w:hAnsi="Goudy Old Style" w:cs="Times New Roman" w:eastAsiaTheme="minorEastAsia"/>
                            </w:rPr>
                            <w:fldChar w:fldCharType="begin"/>
                          </w:r>
                          <w:r>
                            <w:rPr>
                              <w:rFonts w:ascii="Goudy Old Style" w:hAnsi="Goudy Old Style" w:cs="Times New Roman"/>
                              <w:lang w:val="it-IT"/>
                            </w:rPr>
                            <w:instrText xml:space="preserve"> PAGE   \* MERGEFORMAT </w:instrText>
                          </w:r>
                          <w:r>
                            <w:rPr>
                              <w:rFonts w:ascii="Goudy Old Style" w:hAnsi="Goudy Old Style" w:cs="Times New Roman" w:eastAsiaTheme="minorEastAsia"/>
                            </w:rPr>
                            <w:fldChar w:fldCharType="separate"/>
                          </w:r>
                          <w:r>
                            <w:rPr>
                              <w:rFonts w:ascii="Goudy Old Style" w:hAnsi="Goudy Old Style" w:cs="Times New Roman" w:eastAsiaTheme="majorEastAsia"/>
                              <w:lang w:val="it-IT"/>
                            </w:rPr>
                            <w:t>347</w:t>
                          </w:r>
                          <w:r>
                            <w:rPr>
                              <w:rFonts w:ascii="Goudy Old Style" w:hAnsi="Goudy Old Style" w:cs="Times New Roman" w:eastAsiaTheme="majorEastAsia"/>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99.65pt;mso-position-horizontal:right;mso-position-horizontal-relative:margin;z-index:251664384;mso-width-relative:page;mso-height-relative:page;" filled="f" stroked="f" coordsize="21600,21600" o:gfxdata="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R&#10;aH0D1QAAAAUBAAAPAAAAAAAAAAEAIAAAACIAAABkcnMvZG93bnJldi54bWxQSwECFAAUAAAACACH&#10;TuJAD2udptICAAAlBgAADgAAAAAAAAABACAAAAAkAQAAZHJzL2Uyb0RvYy54bWxQSwUGAAAAAAYA&#10;BgBZAQAAaAYAAAAA&#10;">
              <v:fill on="f" focussize="0,0"/>
              <v:stroke on="f" weight="0.5pt"/>
              <v:imagedata o:title=""/>
              <o:lock v:ext="edit" aspectratio="f"/>
              <v:textbox inset="0mm,0mm,0mm,0mm" style="mso-fit-shape-to-text:t;">
                <w:txbxContent>
                  <w:p w14:paraId="1BE80C98">
                    <w:pPr>
                      <w:pStyle w:val="21"/>
                    </w:pPr>
                    <w:r>
                      <w:rPr>
                        <w:rFonts w:ascii="Goudy Old Style" w:hAnsi="Goudy Old Style" w:cs="Times New Roman"/>
                        <w:color w:val="0070C0"/>
                        <w:lang w:val="it-IT"/>
                      </w:rPr>
                      <w:t>https://sesjournal.com</w:t>
                    </w:r>
                    <w:r>
                      <w:rPr>
                        <w:rFonts w:ascii="Goudy Old Style" w:hAnsi="Goudy Old Style" w:cs="Times New Roman"/>
                        <w:color w:val="00B0F0"/>
                        <w:lang w:val="it-IT"/>
                      </w:rPr>
                      <w:tab/>
                    </w:r>
                    <w:r>
                      <w:rPr>
                        <w:rFonts w:ascii="Goudy Old Style" w:hAnsi="Goudy Old Style" w:cs="Times New Roman"/>
                        <w:lang w:val="it-IT"/>
                      </w:rPr>
                      <w:t>|</w:t>
                    </w:r>
                    <w:r>
                      <w:rPr>
                        <w:rFonts w:hint="default" w:ascii="Goudy Old Style" w:hAnsi="Goudy Old Style" w:cs="Times New Roman"/>
                        <w:lang w:val="en-US"/>
                      </w:rPr>
                      <w:t>Khan &amp; Kausar -</w:t>
                    </w:r>
                    <w:r>
                      <w:rPr>
                        <w:rFonts w:ascii="Goudy Old Style" w:hAnsi="Goudy Old Style"/>
                      </w:rPr>
                      <w:t>2026</w:t>
                    </w:r>
                    <w:r>
                      <w:rPr>
                        <w:rFonts w:ascii="Goudy Old Style" w:hAnsi="Goudy Old Style" w:cs="Times New Roman"/>
                        <w:lang w:val="it-IT"/>
                      </w:rPr>
                      <w:t xml:space="preserve"> |</w:t>
                    </w:r>
                    <w:r>
                      <w:rPr>
                        <w:rFonts w:ascii="Goudy Old Style" w:hAnsi="Goudy Old Style" w:cs="Times New Roman" w:eastAsiaTheme="majorEastAsia"/>
                      </w:rPr>
                      <w:ptab w:relativeTo="margin" w:alignment="right" w:leader="none"/>
                    </w:r>
                    <w:r>
                      <w:rPr>
                        <w:rFonts w:ascii="Goudy Old Style" w:hAnsi="Goudy Old Style" w:cs="Times New Roman" w:eastAsiaTheme="majorEastAsia"/>
                        <w:lang w:val="it-IT"/>
                      </w:rPr>
                      <w:t xml:space="preserve">Page </w:t>
                    </w:r>
                    <w:r>
                      <w:rPr>
                        <w:rFonts w:ascii="Goudy Old Style" w:hAnsi="Goudy Old Style" w:cs="Times New Roman" w:eastAsiaTheme="minorEastAsia"/>
                      </w:rPr>
                      <w:fldChar w:fldCharType="begin"/>
                    </w:r>
                    <w:r>
                      <w:rPr>
                        <w:rFonts w:ascii="Goudy Old Style" w:hAnsi="Goudy Old Style" w:cs="Times New Roman"/>
                        <w:lang w:val="it-IT"/>
                      </w:rPr>
                      <w:instrText xml:space="preserve"> PAGE   \* MERGEFORMAT </w:instrText>
                    </w:r>
                    <w:r>
                      <w:rPr>
                        <w:rFonts w:ascii="Goudy Old Style" w:hAnsi="Goudy Old Style" w:cs="Times New Roman" w:eastAsiaTheme="minorEastAsia"/>
                      </w:rPr>
                      <w:fldChar w:fldCharType="separate"/>
                    </w:r>
                    <w:r>
                      <w:rPr>
                        <w:rFonts w:ascii="Goudy Old Style" w:hAnsi="Goudy Old Style" w:cs="Times New Roman" w:eastAsiaTheme="majorEastAsia"/>
                        <w:lang w:val="it-IT"/>
                      </w:rPr>
                      <w:t>347</w:t>
                    </w:r>
                    <w:r>
                      <w:rPr>
                        <w:rFonts w:ascii="Goudy Old Style" w:hAnsi="Goudy Old Style" w:cs="Times New Roman" w:eastAsiaTheme="majorEastAsia"/>
                      </w:rPr>
                      <w:fldChar w:fldCharType="end"/>
                    </w:r>
                  </w:p>
                </w:txbxContent>
              </v:textbox>
            </v:shape>
          </w:pict>
        </mc:Fallback>
      </mc:AlternateContent>
    </w:r>
    <w:r>
      <w:rPr>
        <w:rFonts w:ascii="Goudy Old Style" w:hAnsi="Goudy Old Style" w:cs="Times New Roman"/>
      </w:rPr>
      <mc:AlternateContent>
        <mc:Choice Requires="wpg">
          <w:drawing>
            <wp:anchor distT="0" distB="0" distL="114300" distR="114300" simplePos="0" relativeHeight="251663360" behindDoc="0" locked="0" layoutInCell="0" allowOverlap="1">
              <wp:simplePos x="0" y="0"/>
              <wp:positionH relativeFrom="page">
                <wp:posOffset>-139700</wp:posOffset>
              </wp:positionH>
              <wp:positionV relativeFrom="page">
                <wp:posOffset>9118600</wp:posOffset>
              </wp:positionV>
              <wp:extent cx="7783830" cy="822960"/>
              <wp:effectExtent l="63500" t="41275" r="77470" b="0"/>
              <wp:wrapNone/>
              <wp:docPr id="8" name="Group 7"/>
              <wp:cNvGraphicFramePr/>
              <a:graphic xmlns:a="http://schemas.openxmlformats.org/drawingml/2006/main">
                <a:graphicData uri="http://schemas.microsoft.com/office/word/2010/wordprocessingGroup">
                  <wpg:wgp>
                    <wpg:cNvGrpSpPr/>
                    <wpg:grpSpPr>
                      <a:xfrm flipV="1">
                        <a:off x="0" y="0"/>
                        <a:ext cx="7783830" cy="822960"/>
                        <a:chOff x="-221" y="9"/>
                        <a:chExt cx="12251" cy="1439"/>
                      </a:xfrm>
                      <a:effectLst/>
                    </wpg:grpSpPr>
                    <wps:wsp>
                      <wps:cNvPr id="11" name="AutoShape 4"/>
                      <wps:cNvCnPr>
                        <a:cxnSpLocks noChangeShapeType="1"/>
                      </wps:cNvCnPr>
                      <wps:spPr bwMode="auto">
                        <a:xfrm flipV="1">
                          <a:off x="-221" y="1434"/>
                          <a:ext cx="12251" cy="0"/>
                        </a:xfrm>
                        <a:prstGeom prst="straightConnector1">
                          <a:avLst/>
                        </a:prstGeom>
                        <a:noFill/>
                        <a:ln w="9525">
                          <a:solidFill>
                            <a:srgbClr val="000000"/>
                          </a:solidFill>
                          <a:round/>
                        </a:ln>
                        <a:effectLst>
                          <a:glow rad="63500">
                            <a:srgbClr val="A5A5A5">
                              <a:satMod val="175000"/>
                              <a:alpha val="40000"/>
                            </a:srgbClr>
                          </a:glow>
                        </a:effectLst>
                      </wps:spPr>
                      <wps:bodyPr/>
                    </wps:wsp>
                    <wps:wsp>
                      <wps:cNvPr id="12" name="Rectangle 443"/>
                      <wps:cNvSpPr>
                        <a:spLocks noChangeArrowheads="1"/>
                      </wps:cNvSpPr>
                      <wps:spPr bwMode="auto">
                        <a:xfrm>
                          <a:off x="8" y="9"/>
                          <a:ext cx="4031" cy="1439"/>
                        </a:xfrm>
                        <a:prstGeom prst="rect">
                          <a:avLst/>
                        </a:prstGeom>
                        <a:noFill/>
                        <a:ln>
                          <a:noFill/>
                        </a:ln>
                        <a:effec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91000</wp14:pctHeight>
              </wp14:sizeRelV>
            </wp:anchor>
          </w:drawing>
        </mc:Choice>
        <mc:Fallback>
          <w:pict>
            <v:group id="Group 7" o:spid="_x0000_s1026" o:spt="203" style="position:absolute;left:0pt;flip:y;margin-left:-11pt;margin-top:718pt;height:64.8pt;width:612.9pt;mso-position-horizontal-relative:page;mso-position-vertical-relative:page;z-index:251663360;mso-width-relative:page;mso-height-relative:bottom-margin-area;mso-height-percent:910;" coordorigin="-221,9" coordsize="12251,1439" o:allowincell="f" o:gfxdata="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fj9qudwAAAAOAQAADwAAAAAAAAAB&#10;ACAAAAAiAAAAZHJzL2Rvd25yZXYueG1sUEsBAhQAFAAAAAgAh07iQG/OaXApAwAAvgcAAA4AAAAA&#10;AAAAAQAgAAAAKwEAAGRycy9lMm9Eb2MueG1sUEsFBgAAAAAGAAYAWQEAAMYGAAAAAA==&#10;">
              <o:lock v:ext="edit" aspectratio="f"/>
              <v:shape id="AutoShape 4" o:spid="_x0000_s1026" o:spt="32" type="#_x0000_t32" style="position:absolute;left:-221;top:1434;flip:y;height:0;width:12251;" filled="f" stroked="t" coordsize="21600,21600" o:gfxdata="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m1X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rect id="Rectangle 443" o:spid="_x0000_s1026" o:spt="1" style="position:absolute;left:8;top:9;height:1439;width:4031;"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88E57">
    <w:pPr>
      <w:pStyle w:val="24"/>
      <w:rPr>
        <w:rFonts w:ascii="Goudy Old Style" w:hAnsi="Goudy Old Style" w:cs="Calibri Light"/>
        <w:b/>
        <w:sz w:val="26"/>
        <w:szCs w:val="26"/>
      </w:rPr>
    </w:pPr>
    <w: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204470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AC6B5B">
                          <w:pPr>
                            <w:pStyle w:val="24"/>
                            <w:jc w:val="center"/>
                            <w:rPr>
                              <w:rFonts w:ascii="Goudy Old Style" w:hAnsi="Goudy Old Style"/>
                              <w:caps/>
                              <w:color w:val="767171" w:themeColor="background2" w:themeShade="80"/>
                              <w:sz w:val="24"/>
                              <w:szCs w:val="24"/>
                            </w:rPr>
                          </w:pPr>
                          <w:r>
                            <w:rPr>
                              <w:rFonts w:ascii="Goudy Old Style" w:hAnsi="Goudy Old Style" w:cstheme="minorHAnsi"/>
                              <w:bCs/>
                              <w:color w:val="767171" w:themeColor="background2" w:themeShade="80"/>
                              <w:sz w:val="24"/>
                              <w:szCs w:val="24"/>
                            </w:rPr>
                            <w:t xml:space="preserve">Volume 4, Issue </w:t>
                          </w:r>
                          <w:r>
                            <w:rPr>
                              <w:rFonts w:hint="default" w:ascii="Goudy Old Style" w:hAnsi="Goudy Old Style" w:cstheme="minorHAnsi"/>
                              <w:bCs/>
                              <w:color w:val="767171" w:themeColor="background2" w:themeShade="80"/>
                              <w:sz w:val="24"/>
                              <w:szCs w:val="24"/>
                              <w:lang w:val="en-US"/>
                            </w:rPr>
                            <w:t>3</w:t>
                          </w:r>
                          <w:r>
                            <w:rPr>
                              <w:rFonts w:ascii="Goudy Old Style" w:hAnsi="Goudy Old Style" w:cstheme="minorHAnsi"/>
                              <w:bCs/>
                              <w:color w:val="767171" w:themeColor="background2" w:themeShade="80"/>
                              <w:sz w:val="24"/>
                              <w:szCs w:val="24"/>
                            </w:rPr>
                            <w:t>, 2026</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rot lat="0" lon="0" rev="0"/>
                        </a:camera>
                        <a:lightRig rig="contrasting" dir="t">
                          <a:rot lat="0" lon="0" rev="4500000"/>
                        </a:lightRig>
                      </a:scene3d>
                      <a:sp3d contourW="6350" prstMaterial="metal">
                        <a:bevelT w="127000" h="31750" prst="relaxedInset"/>
                        <a:contourClr>
                          <a:srgbClr val="4F88BB">
                            <a:shade val="75000"/>
                          </a:srgbClr>
                        </a:contourClr>
                      </a:sp3d>
                    </wps:bodyPr>
                  </wps:wsp>
                </a:graphicData>
              </a:graphic>
            </wp:anchor>
          </w:drawing>
        </mc:Choice>
        <mc:Fallback>
          <w:pict>
            <v:shape id="_x0000_s1026" o:spid="_x0000_s1026" o:spt="202" type="#_x0000_t202" style="position:absolute;left:0pt;margin-left:324pt;margin-top:16.1pt;height:144pt;width:144pt;mso-wrap-distance-bottom:0pt;mso-wrap-distance-left:9pt;mso-wrap-distance-right:9pt;mso-wrap-distance-top:0pt;mso-wrap-style:none;z-index:251661312;mso-width-relative:page;mso-height-relative:page;" filled="f" stroked="f" coordsize="21600,21600" o:gfxdata="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z9OCl1gAAAAoBAAAPAAAAAAAAAAEAIAAAACIAAABkcnMvZG93bnJldi54bWxQSwECFAAUAAAA&#10;CACHTuJAsP+LRNQCAADoBQAADgAAAAAAAAABACAAAAAlAQAAZHJzL2Uyb0RvYy54bWxQSwUGAAAA&#10;AAYABgBZAQAAawYAAAAA&#10;">
              <v:fill on="f" focussize="0,0"/>
              <v:stroke on="f"/>
              <v:imagedata o:title=""/>
              <o:lock v:ext="edit" aspectratio="f"/>
              <v:textbox style="mso-fit-shape-to-text:t;">
                <w:txbxContent>
                  <w:p w14:paraId="5AAC6B5B">
                    <w:pPr>
                      <w:pStyle w:val="24"/>
                      <w:jc w:val="center"/>
                      <w:rPr>
                        <w:rFonts w:ascii="Goudy Old Style" w:hAnsi="Goudy Old Style"/>
                        <w:caps/>
                        <w:color w:val="767171" w:themeColor="background2" w:themeShade="80"/>
                        <w:sz w:val="24"/>
                        <w:szCs w:val="24"/>
                      </w:rPr>
                    </w:pPr>
                    <w:r>
                      <w:rPr>
                        <w:rFonts w:ascii="Goudy Old Style" w:hAnsi="Goudy Old Style" w:cstheme="minorHAnsi"/>
                        <w:bCs/>
                        <w:color w:val="767171" w:themeColor="background2" w:themeShade="80"/>
                        <w:sz w:val="24"/>
                        <w:szCs w:val="24"/>
                      </w:rPr>
                      <w:t xml:space="preserve">Volume 4, Issue </w:t>
                    </w:r>
                    <w:r>
                      <w:rPr>
                        <w:rFonts w:hint="default" w:ascii="Goudy Old Style" w:hAnsi="Goudy Old Style" w:cstheme="minorHAnsi"/>
                        <w:bCs/>
                        <w:color w:val="767171" w:themeColor="background2" w:themeShade="80"/>
                        <w:sz w:val="24"/>
                        <w:szCs w:val="24"/>
                        <w:lang w:val="en-US"/>
                      </w:rPr>
                      <w:t>3</w:t>
                    </w:r>
                    <w:r>
                      <w:rPr>
                        <w:rFonts w:ascii="Goudy Old Style" w:hAnsi="Goudy Old Style" w:cstheme="minorHAnsi"/>
                        <w:bCs/>
                        <w:color w:val="767171" w:themeColor="background2" w:themeShade="80"/>
                        <w:sz w:val="24"/>
                        <w:szCs w:val="24"/>
                      </w:rPr>
                      <w:t>, 2026</w:t>
                    </w:r>
                  </w:p>
                </w:txbxContent>
              </v:textbox>
              <w10:wrap type="square"/>
            </v:shape>
          </w:pict>
        </mc:Fallback>
      </mc:AlternateContent>
    </w:r>
    <w:r>
      <w:rPr>
        <w:rFonts w:ascii="Goudy Old Style" w:hAnsi="Goudy Old Style" w:cs="Times New Roman"/>
        <w:b/>
        <w:color w:val="0070C0"/>
        <w:sz w:val="32"/>
        <w:szCs w:val="72"/>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1428750" cy="933450"/>
          <wp:effectExtent l="0" t="0" r="0" b="0"/>
          <wp:wrapNone/>
          <wp:docPr id="19" name="WordPictureWatermark123114486" descr="IE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123114486" descr="IEER logo"/>
                  <pic:cNvPicPr>
                    <a:picLocks noChangeAspect="1"/>
                  </pic:cNvPicPr>
                </pic:nvPicPr>
                <pic:blipFill>
                  <a:blip r:embed="rId1">
                    <a:lum bright="70001" contrast="-70000"/>
                  </a:blip>
                  <a:stretch>
                    <a:fillRect/>
                  </a:stretch>
                </pic:blipFill>
                <pic:spPr>
                  <a:xfrm>
                    <a:off x="0" y="0"/>
                    <a:ext cx="1428750" cy="933450"/>
                  </a:xfrm>
                  <a:prstGeom prst="rect">
                    <a:avLst/>
                  </a:prstGeom>
                  <a:noFill/>
                  <a:ln>
                    <a:noFill/>
                  </a:ln>
                </pic:spPr>
              </pic:pic>
            </a:graphicData>
          </a:graphic>
        </wp:anchor>
      </w:drawing>
    </w:r>
    <w:r>
      <w:rPr>
        <w:rFonts w:ascii="Goudy Old Style" w:hAnsi="Goudy Old Style" w:cs="Times New Roman"/>
        <w:b/>
        <w:color w:val="0070C0"/>
        <w:sz w:val="32"/>
        <w:szCs w:val="72"/>
      </w:rPr>
      <w:t xml:space="preserve">Spectrum of Engineering Sciences </w:t>
    </w:r>
  </w:p>
  <w:p w14:paraId="205CF62C">
    <w:pPr>
      <w:pStyle w:val="24"/>
      <w:rPr>
        <w:rFonts w:ascii="Goudy Old Style" w:hAnsi="Goudy Old Style" w:cstheme="minorHAnsi"/>
        <w:b/>
        <w:color w:val="767171" w:themeColor="background2" w:themeShade="80"/>
        <w:sz w:val="24"/>
        <w:szCs w:val="24"/>
      </w:rPr>
    </w:pPr>
    <w:r>
      <w:rPr>
        <w:rStyle w:val="28"/>
        <w:rFonts w:ascii="Goudy Old Style" w:hAnsi="Goudy Old Style"/>
        <w:sz w:val="24"/>
        <w:szCs w:val="24"/>
        <w:shd w:val="clear" w:color="auto" w:fill="FFFFFF"/>
      </w:rPr>
      <w:t>ISSN (e)</w:t>
    </w:r>
    <w:r>
      <w:rPr>
        <w:rFonts w:ascii="Goudy Old Style" w:hAnsi="Goudy Old Style"/>
        <w:sz w:val="24"/>
        <w:szCs w:val="24"/>
        <w:shd w:val="clear" w:color="auto" w:fill="FFFFFF"/>
      </w:rPr>
      <w:t> </w:t>
    </w:r>
    <w:r>
      <w:fldChar w:fldCharType="begin"/>
    </w:r>
    <w:r>
      <w:instrText xml:space="preserve"> HYPERLINK "https://portal.issn.org/resource/ISSN/3006-7030" </w:instrText>
    </w:r>
    <w:r>
      <w:fldChar w:fldCharType="separate"/>
    </w:r>
    <w:r>
      <w:rPr>
        <w:rStyle w:val="25"/>
        <w:rFonts w:ascii="Goudy Old Style" w:hAnsi="Goudy Old Style"/>
        <w:color w:val="006798"/>
        <w:sz w:val="24"/>
        <w:szCs w:val="24"/>
        <w:u w:val="none"/>
        <w:shd w:val="clear" w:color="auto" w:fill="FFFFFF"/>
      </w:rPr>
      <w:t>3007-3138</w:t>
    </w:r>
    <w:r>
      <w:rPr>
        <w:rStyle w:val="25"/>
        <w:rFonts w:ascii="Goudy Old Style" w:hAnsi="Goudy Old Style"/>
        <w:color w:val="006798"/>
        <w:sz w:val="24"/>
        <w:szCs w:val="24"/>
        <w:u w:val="none"/>
        <w:shd w:val="clear" w:color="auto" w:fill="FFFFFF"/>
      </w:rPr>
      <w:fldChar w:fldCharType="end"/>
    </w:r>
    <w:r>
      <w:rPr>
        <w:rFonts w:ascii="Goudy Old Style" w:hAnsi="Goudy Old Style"/>
        <w:sz w:val="24"/>
        <w:szCs w:val="24"/>
        <w:shd w:val="clear" w:color="auto" w:fill="FFFFFF"/>
      </w:rPr>
      <w:t> </w:t>
    </w:r>
    <w:r>
      <w:rPr>
        <w:rStyle w:val="28"/>
        <w:rFonts w:ascii="Goudy Old Style" w:hAnsi="Goudy Old Style"/>
        <w:sz w:val="24"/>
        <w:szCs w:val="24"/>
        <w:shd w:val="clear" w:color="auto" w:fill="FFFFFF"/>
      </w:rPr>
      <w:t>(p)</w:t>
    </w:r>
    <w:r>
      <w:rPr>
        <w:rFonts w:ascii="Goudy Old Style" w:hAnsi="Goudy Old Style"/>
        <w:sz w:val="24"/>
        <w:szCs w:val="24"/>
        <w:shd w:val="clear" w:color="auto" w:fill="FFFFFF"/>
      </w:rPr>
      <w:t> </w:t>
    </w:r>
    <w:r>
      <w:fldChar w:fldCharType="begin"/>
    </w:r>
    <w:r>
      <w:instrText xml:space="preserve"> HYPERLINK "https://portal.issn.org/resource/ISSN/3006-7030" </w:instrText>
    </w:r>
    <w:r>
      <w:fldChar w:fldCharType="separate"/>
    </w:r>
    <w:r>
      <w:rPr>
        <w:rStyle w:val="25"/>
        <w:rFonts w:ascii="Goudy Old Style" w:hAnsi="Goudy Old Style"/>
        <w:color w:val="006798"/>
        <w:sz w:val="24"/>
        <w:szCs w:val="24"/>
        <w:u w:val="none"/>
        <w:shd w:val="clear" w:color="auto" w:fill="FFFFFF"/>
      </w:rPr>
      <w:t>3007-31</w:t>
    </w:r>
    <w:r>
      <w:rPr>
        <w:rStyle w:val="25"/>
        <w:rFonts w:ascii="Goudy Old Style" w:hAnsi="Goudy Old Style"/>
        <w:color w:val="006798"/>
        <w:sz w:val="24"/>
        <w:szCs w:val="24"/>
        <w:u w:val="none"/>
        <w:shd w:val="clear" w:color="auto" w:fill="FFFFFF"/>
      </w:rPr>
      <w:fldChar w:fldCharType="end"/>
    </w:r>
    <w:r>
      <w:rPr>
        <w:rStyle w:val="25"/>
        <w:rFonts w:ascii="Goudy Old Style" w:hAnsi="Goudy Old Style"/>
        <w:color w:val="006798"/>
        <w:sz w:val="24"/>
        <w:szCs w:val="24"/>
        <w:u w:val="none"/>
        <w:shd w:val="clear" w:color="auto" w:fill="FFFFFF"/>
      </w:rPr>
      <w:t>2X</w:t>
    </w:r>
    <w:r>
      <w:rPr>
        <w:rFonts w:ascii="Goudy Old Style" w:hAnsi="Goudy Old Style"/>
        <w:sz w:val="24"/>
        <w:szCs w:val="24"/>
      </w:rPr>
      <w:tab/>
    </w:r>
    <w:r>
      <w:rPr>
        <w:rFonts w:ascii="Goudy Old Style" w:hAnsi="Goudy Old Style"/>
        <w:sz w:val="24"/>
        <w:szCs w:val="24"/>
      </w:rPr>
      <w:tab/>
    </w:r>
  </w:p>
  <w:p w14:paraId="587660E8">
    <w:pPr>
      <w:pStyle w:val="24"/>
      <w:rPr>
        <w:rFonts w:ascii="Goudy Old Style" w:hAnsi="Goudy Old Style"/>
        <w:b/>
        <w:sz w:val="16"/>
        <w:szCs w:val="26"/>
      </w:rPr>
    </w:pPr>
    <w:r>
      <w:rPr>
        <w:rFonts w:ascii="Goudy Old Style" w:hAnsi="Goudy Old Style"/>
        <w:color w:val="767171" w:themeColor="background2" w:themeShade="80"/>
        <w:sz w:val="24"/>
        <w:szCs w:val="24"/>
      </w:rPr>
      <mc:AlternateContent>
        <mc:Choice Requires="wps">
          <w:drawing>
            <wp:anchor distT="0" distB="0" distL="114300" distR="114300" simplePos="0" relativeHeight="251659264" behindDoc="0" locked="0" layoutInCell="1" allowOverlap="1">
              <wp:simplePos x="0" y="0"/>
              <wp:positionH relativeFrom="column">
                <wp:posOffset>-1101090</wp:posOffset>
              </wp:positionH>
              <wp:positionV relativeFrom="paragraph">
                <wp:posOffset>121285</wp:posOffset>
              </wp:positionV>
              <wp:extent cx="8007985" cy="0"/>
              <wp:effectExtent l="63500" t="54610" r="81915" b="78740"/>
              <wp:wrapNone/>
              <wp:docPr id="6" name="AutoShape 4"/>
              <wp:cNvGraphicFramePr/>
              <a:graphic xmlns:a="http://schemas.openxmlformats.org/drawingml/2006/main">
                <a:graphicData uri="http://schemas.microsoft.com/office/word/2010/wordprocessingShape">
                  <wps:wsp>
                    <wps:cNvCnPr>
                      <a:cxnSpLocks noChangeShapeType="1"/>
                    </wps:cNvCnPr>
                    <wps:spPr bwMode="auto">
                      <a:xfrm>
                        <a:off x="0" y="0"/>
                        <a:ext cx="8007927" cy="0"/>
                      </a:xfrm>
                      <a:prstGeom prst="straightConnector1">
                        <a:avLst/>
                      </a:prstGeom>
                      <a:noFill/>
                      <a:ln w="19050" cap="flat" cmpd="sng" algn="ctr">
                        <a:solidFill>
                          <a:srgbClr val="000000"/>
                        </a:solidFill>
                        <a:prstDash val="solid"/>
                        <a:miter lim="800000"/>
                      </a:ln>
                      <a:effectLst>
                        <a:glow rad="63500">
                          <a:srgbClr val="A5A5A5">
                            <a:satMod val="175000"/>
                            <a:alpha val="40000"/>
                          </a:srgbClr>
                        </a:glow>
                      </a:effectLst>
                    </wps:spPr>
                    <wps:bodyPr/>
                  </wps:wsp>
                </a:graphicData>
              </a:graphic>
            </wp:anchor>
          </w:drawing>
        </mc:Choice>
        <mc:Fallback>
          <w:pict>
            <v:shape id="AutoShape 4" o:spid="_x0000_s1026" o:spt="32" type="#_x0000_t32" style="position:absolute;left:0pt;margin-left:-86.7pt;margin-top:9.55pt;height:0pt;width:630.55pt;z-index:251659264;mso-width-relative:page;mso-height-relative:page;" filled="f" stroked="t" coordsize="21600,21600" o:gfxdata="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WtCGNcAAAALAQAADwAAAAAAAAABACAAAAAiAAAAZHJzL2Rvd25yZXYueG1s&#10;UEsBAhQAFAAAAAgAh07iQOAQSOcyAgAAhAQAAA4AAAAAAAAAAQAgAAAAJgEAAGRycy9lMm9Eb2Mu&#10;eG1sUEsFBgAAAAAGAAYAWQEAAMoFAAAAAA==&#10;">
              <v:fill on="f" focussize="0,0"/>
              <v:stroke weight="1.5pt" color="#000000" miterlimit="8" joinstyle="miter"/>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7A8AAE"/>
    <w:multiLevelType w:val="singleLevel"/>
    <w:tmpl w:val="187A8AAE"/>
    <w:lvl w:ilvl="0" w:tentative="0">
      <w:start w:val="1"/>
      <w:numFmt w:val="decimal"/>
      <w:lvlText w:val="%1."/>
      <w:lvlJc w:val="left"/>
      <w:pPr>
        <w:tabs>
          <w:tab w:val="left" w:pos="425"/>
        </w:tabs>
        <w:ind w:left="425" w:hanging="425"/>
      </w:pPr>
      <w:rPr>
        <w:rFonts w:hint="default"/>
      </w:rPr>
    </w:lvl>
  </w:abstractNum>
  <w:abstractNum w:abstractNumId="1">
    <w:nsid w:val="3DCD1B2D"/>
    <w:multiLevelType w:val="multilevel"/>
    <w:tmpl w:val="3DCD1B2D"/>
    <w:lvl w:ilvl="0" w:tentative="0">
      <w:start w:val="1"/>
      <w:numFmt w:val="decimal"/>
      <w:lvlText w:val="%1."/>
      <w:lvlJc w:val="left"/>
      <w:pPr>
        <w:ind w:left="1080" w:hanging="360"/>
      </w:pPr>
      <w:rPr>
        <w:rFonts w:hint="default"/>
        <w:b/>
      </w:rPr>
    </w:lvl>
    <w:lvl w:ilvl="1" w:tentative="0">
      <w:start w:val="1"/>
      <w:numFmt w:val="decimal"/>
      <w:isLgl/>
      <w:lvlText w:val="%1.%2"/>
      <w:lvlJc w:val="left"/>
      <w:pPr>
        <w:ind w:left="1260" w:hanging="360"/>
      </w:pPr>
      <w:rPr>
        <w:rFonts w:hint="default"/>
        <w:b/>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49"/>
    <w:rsid w:val="00000AD2"/>
    <w:rsid w:val="0000638F"/>
    <w:rsid w:val="0000663C"/>
    <w:rsid w:val="0001792D"/>
    <w:rsid w:val="00017D95"/>
    <w:rsid w:val="00020C01"/>
    <w:rsid w:val="00020CDE"/>
    <w:rsid w:val="00027FA5"/>
    <w:rsid w:val="000344A5"/>
    <w:rsid w:val="000379E4"/>
    <w:rsid w:val="000406D9"/>
    <w:rsid w:val="00044F03"/>
    <w:rsid w:val="00050510"/>
    <w:rsid w:val="000611DB"/>
    <w:rsid w:val="00061AB0"/>
    <w:rsid w:val="000704EC"/>
    <w:rsid w:val="0008142A"/>
    <w:rsid w:val="000839FA"/>
    <w:rsid w:val="00083C63"/>
    <w:rsid w:val="00097E2C"/>
    <w:rsid w:val="000A03F6"/>
    <w:rsid w:val="000A2B00"/>
    <w:rsid w:val="000A4707"/>
    <w:rsid w:val="000C1C38"/>
    <w:rsid w:val="000D1673"/>
    <w:rsid w:val="000D18A2"/>
    <w:rsid w:val="000D4964"/>
    <w:rsid w:val="000D6859"/>
    <w:rsid w:val="00102899"/>
    <w:rsid w:val="001049E7"/>
    <w:rsid w:val="001067D3"/>
    <w:rsid w:val="00107A37"/>
    <w:rsid w:val="001124DD"/>
    <w:rsid w:val="001143E3"/>
    <w:rsid w:val="00116CBC"/>
    <w:rsid w:val="00134672"/>
    <w:rsid w:val="00134A75"/>
    <w:rsid w:val="00141084"/>
    <w:rsid w:val="00146898"/>
    <w:rsid w:val="0016316B"/>
    <w:rsid w:val="00163924"/>
    <w:rsid w:val="0016422A"/>
    <w:rsid w:val="001657CB"/>
    <w:rsid w:val="001837D5"/>
    <w:rsid w:val="00191614"/>
    <w:rsid w:val="0019441A"/>
    <w:rsid w:val="001A4782"/>
    <w:rsid w:val="001A65C6"/>
    <w:rsid w:val="001B4ED2"/>
    <w:rsid w:val="001C75F0"/>
    <w:rsid w:val="001C7679"/>
    <w:rsid w:val="001D1BA8"/>
    <w:rsid w:val="001D2E6B"/>
    <w:rsid w:val="001D36CB"/>
    <w:rsid w:val="001E33C5"/>
    <w:rsid w:val="001F7D60"/>
    <w:rsid w:val="00202066"/>
    <w:rsid w:val="00206D67"/>
    <w:rsid w:val="00207414"/>
    <w:rsid w:val="002104D2"/>
    <w:rsid w:val="002150E5"/>
    <w:rsid w:val="002246A9"/>
    <w:rsid w:val="00225CC4"/>
    <w:rsid w:val="00227A49"/>
    <w:rsid w:val="00231B3B"/>
    <w:rsid w:val="00232BF0"/>
    <w:rsid w:val="0023583D"/>
    <w:rsid w:val="00255EBE"/>
    <w:rsid w:val="00257499"/>
    <w:rsid w:val="002609A3"/>
    <w:rsid w:val="00263121"/>
    <w:rsid w:val="002636DE"/>
    <w:rsid w:val="00266031"/>
    <w:rsid w:val="00266AEC"/>
    <w:rsid w:val="00275BE1"/>
    <w:rsid w:val="00293BC7"/>
    <w:rsid w:val="0029757E"/>
    <w:rsid w:val="002A1F03"/>
    <w:rsid w:val="002B3B6A"/>
    <w:rsid w:val="002B3E35"/>
    <w:rsid w:val="002B4213"/>
    <w:rsid w:val="002B4B62"/>
    <w:rsid w:val="002C4D5F"/>
    <w:rsid w:val="002C7D37"/>
    <w:rsid w:val="002D337D"/>
    <w:rsid w:val="002D3745"/>
    <w:rsid w:val="002E5317"/>
    <w:rsid w:val="002F33B5"/>
    <w:rsid w:val="002F5F02"/>
    <w:rsid w:val="0030241A"/>
    <w:rsid w:val="00304C31"/>
    <w:rsid w:val="0031308D"/>
    <w:rsid w:val="00314454"/>
    <w:rsid w:val="003214B4"/>
    <w:rsid w:val="00325659"/>
    <w:rsid w:val="00332193"/>
    <w:rsid w:val="003334EC"/>
    <w:rsid w:val="003374A9"/>
    <w:rsid w:val="00366449"/>
    <w:rsid w:val="003846AF"/>
    <w:rsid w:val="00384830"/>
    <w:rsid w:val="00393B17"/>
    <w:rsid w:val="003A3BA5"/>
    <w:rsid w:val="003B010F"/>
    <w:rsid w:val="003D2B95"/>
    <w:rsid w:val="003E1BF2"/>
    <w:rsid w:val="003E7E88"/>
    <w:rsid w:val="003F1AC0"/>
    <w:rsid w:val="003F4805"/>
    <w:rsid w:val="00410D43"/>
    <w:rsid w:val="00413428"/>
    <w:rsid w:val="0041692D"/>
    <w:rsid w:val="00416C05"/>
    <w:rsid w:val="004362EB"/>
    <w:rsid w:val="00440AB2"/>
    <w:rsid w:val="00444DCB"/>
    <w:rsid w:val="004467F4"/>
    <w:rsid w:val="0044790A"/>
    <w:rsid w:val="004604BF"/>
    <w:rsid w:val="004643BE"/>
    <w:rsid w:val="00466F4D"/>
    <w:rsid w:val="00475277"/>
    <w:rsid w:val="004776AB"/>
    <w:rsid w:val="00482761"/>
    <w:rsid w:val="00485448"/>
    <w:rsid w:val="00486CC6"/>
    <w:rsid w:val="004875B1"/>
    <w:rsid w:val="0049216B"/>
    <w:rsid w:val="004946EA"/>
    <w:rsid w:val="00495100"/>
    <w:rsid w:val="004A4863"/>
    <w:rsid w:val="004C2570"/>
    <w:rsid w:val="004C2786"/>
    <w:rsid w:val="004C6E24"/>
    <w:rsid w:val="004D4916"/>
    <w:rsid w:val="004E1AFB"/>
    <w:rsid w:val="004E3039"/>
    <w:rsid w:val="005012DA"/>
    <w:rsid w:val="0051655D"/>
    <w:rsid w:val="00516E4E"/>
    <w:rsid w:val="00517CCE"/>
    <w:rsid w:val="00530EFB"/>
    <w:rsid w:val="0054434E"/>
    <w:rsid w:val="005472FA"/>
    <w:rsid w:val="00550FDA"/>
    <w:rsid w:val="00553033"/>
    <w:rsid w:val="00554C6A"/>
    <w:rsid w:val="00560D41"/>
    <w:rsid w:val="00562523"/>
    <w:rsid w:val="005736AC"/>
    <w:rsid w:val="005762EB"/>
    <w:rsid w:val="00582526"/>
    <w:rsid w:val="005A7DA3"/>
    <w:rsid w:val="005B0DF3"/>
    <w:rsid w:val="005B2FC9"/>
    <w:rsid w:val="005C00E2"/>
    <w:rsid w:val="005C1A22"/>
    <w:rsid w:val="005C1FED"/>
    <w:rsid w:val="005E61D3"/>
    <w:rsid w:val="005F6893"/>
    <w:rsid w:val="006571D7"/>
    <w:rsid w:val="0066304E"/>
    <w:rsid w:val="00664084"/>
    <w:rsid w:val="0067296A"/>
    <w:rsid w:val="006753B5"/>
    <w:rsid w:val="006768FB"/>
    <w:rsid w:val="0069112C"/>
    <w:rsid w:val="006B76A0"/>
    <w:rsid w:val="006C11B3"/>
    <w:rsid w:val="006C12A4"/>
    <w:rsid w:val="006E31D4"/>
    <w:rsid w:val="007143EC"/>
    <w:rsid w:val="0072243D"/>
    <w:rsid w:val="00726E6B"/>
    <w:rsid w:val="00736027"/>
    <w:rsid w:val="0074546F"/>
    <w:rsid w:val="00747A12"/>
    <w:rsid w:val="007637EE"/>
    <w:rsid w:val="0077191D"/>
    <w:rsid w:val="00772A23"/>
    <w:rsid w:val="007918E9"/>
    <w:rsid w:val="00794462"/>
    <w:rsid w:val="007A5987"/>
    <w:rsid w:val="007A7F32"/>
    <w:rsid w:val="007D667A"/>
    <w:rsid w:val="007E5DC2"/>
    <w:rsid w:val="007F44FB"/>
    <w:rsid w:val="007F6A70"/>
    <w:rsid w:val="008018B7"/>
    <w:rsid w:val="00803CB5"/>
    <w:rsid w:val="008249D5"/>
    <w:rsid w:val="00826401"/>
    <w:rsid w:val="00840E5A"/>
    <w:rsid w:val="008437E8"/>
    <w:rsid w:val="00852774"/>
    <w:rsid w:val="00861E5E"/>
    <w:rsid w:val="00863614"/>
    <w:rsid w:val="00865470"/>
    <w:rsid w:val="00866A94"/>
    <w:rsid w:val="00880581"/>
    <w:rsid w:val="008A6303"/>
    <w:rsid w:val="008B458F"/>
    <w:rsid w:val="008D3AD6"/>
    <w:rsid w:val="008D6FB7"/>
    <w:rsid w:val="008E0EB1"/>
    <w:rsid w:val="008E2AA7"/>
    <w:rsid w:val="008E5450"/>
    <w:rsid w:val="00901F6E"/>
    <w:rsid w:val="00914492"/>
    <w:rsid w:val="00926028"/>
    <w:rsid w:val="00932ED1"/>
    <w:rsid w:val="009365E4"/>
    <w:rsid w:val="00936C7E"/>
    <w:rsid w:val="00946E7C"/>
    <w:rsid w:val="0094725F"/>
    <w:rsid w:val="00952C85"/>
    <w:rsid w:val="009601C8"/>
    <w:rsid w:val="0096094C"/>
    <w:rsid w:val="00961996"/>
    <w:rsid w:val="009B1992"/>
    <w:rsid w:val="009C3F83"/>
    <w:rsid w:val="009C450B"/>
    <w:rsid w:val="009C4853"/>
    <w:rsid w:val="009C57CD"/>
    <w:rsid w:val="009C64A4"/>
    <w:rsid w:val="009C70BB"/>
    <w:rsid w:val="009D2A6C"/>
    <w:rsid w:val="009D3518"/>
    <w:rsid w:val="009E0754"/>
    <w:rsid w:val="009E07FB"/>
    <w:rsid w:val="009E5327"/>
    <w:rsid w:val="00A05F2B"/>
    <w:rsid w:val="00A2758D"/>
    <w:rsid w:val="00A44958"/>
    <w:rsid w:val="00A47280"/>
    <w:rsid w:val="00A53D6D"/>
    <w:rsid w:val="00A570DF"/>
    <w:rsid w:val="00A6227D"/>
    <w:rsid w:val="00A6774D"/>
    <w:rsid w:val="00A7091A"/>
    <w:rsid w:val="00A71044"/>
    <w:rsid w:val="00A778E6"/>
    <w:rsid w:val="00A94111"/>
    <w:rsid w:val="00AA3B6B"/>
    <w:rsid w:val="00AB38FB"/>
    <w:rsid w:val="00AC300A"/>
    <w:rsid w:val="00AD2307"/>
    <w:rsid w:val="00AE06B2"/>
    <w:rsid w:val="00AE4788"/>
    <w:rsid w:val="00AF3CDE"/>
    <w:rsid w:val="00B139CD"/>
    <w:rsid w:val="00B206D1"/>
    <w:rsid w:val="00B23FB0"/>
    <w:rsid w:val="00B2621E"/>
    <w:rsid w:val="00B317A0"/>
    <w:rsid w:val="00B31E5D"/>
    <w:rsid w:val="00B340C6"/>
    <w:rsid w:val="00B36940"/>
    <w:rsid w:val="00B4054C"/>
    <w:rsid w:val="00B43346"/>
    <w:rsid w:val="00B47A1F"/>
    <w:rsid w:val="00B51E87"/>
    <w:rsid w:val="00B710CB"/>
    <w:rsid w:val="00B72438"/>
    <w:rsid w:val="00B74D0C"/>
    <w:rsid w:val="00B768DA"/>
    <w:rsid w:val="00B76BAE"/>
    <w:rsid w:val="00B77FA7"/>
    <w:rsid w:val="00B85CCE"/>
    <w:rsid w:val="00B8722F"/>
    <w:rsid w:val="00B874D3"/>
    <w:rsid w:val="00B9558F"/>
    <w:rsid w:val="00BA114A"/>
    <w:rsid w:val="00BB354B"/>
    <w:rsid w:val="00BB3690"/>
    <w:rsid w:val="00BB70DE"/>
    <w:rsid w:val="00BC1B38"/>
    <w:rsid w:val="00BC4BA4"/>
    <w:rsid w:val="00BC54B2"/>
    <w:rsid w:val="00BC6900"/>
    <w:rsid w:val="00BD33D8"/>
    <w:rsid w:val="00BF1FBF"/>
    <w:rsid w:val="00BF25D5"/>
    <w:rsid w:val="00C0163E"/>
    <w:rsid w:val="00C04FFA"/>
    <w:rsid w:val="00C06545"/>
    <w:rsid w:val="00C15CFE"/>
    <w:rsid w:val="00C23698"/>
    <w:rsid w:val="00C247EF"/>
    <w:rsid w:val="00C25CB5"/>
    <w:rsid w:val="00C30722"/>
    <w:rsid w:val="00C3786F"/>
    <w:rsid w:val="00C44097"/>
    <w:rsid w:val="00C4698B"/>
    <w:rsid w:val="00C518DA"/>
    <w:rsid w:val="00C624F5"/>
    <w:rsid w:val="00C64F6A"/>
    <w:rsid w:val="00C676B7"/>
    <w:rsid w:val="00C67DDE"/>
    <w:rsid w:val="00C71480"/>
    <w:rsid w:val="00C71678"/>
    <w:rsid w:val="00C74013"/>
    <w:rsid w:val="00C840DA"/>
    <w:rsid w:val="00C93412"/>
    <w:rsid w:val="00C93690"/>
    <w:rsid w:val="00C93B8F"/>
    <w:rsid w:val="00C93C17"/>
    <w:rsid w:val="00C96042"/>
    <w:rsid w:val="00C96CA7"/>
    <w:rsid w:val="00CA497B"/>
    <w:rsid w:val="00CA4C52"/>
    <w:rsid w:val="00CC2CD9"/>
    <w:rsid w:val="00CE0C82"/>
    <w:rsid w:val="00CF12E1"/>
    <w:rsid w:val="00D00157"/>
    <w:rsid w:val="00D0171D"/>
    <w:rsid w:val="00D033CB"/>
    <w:rsid w:val="00D21A06"/>
    <w:rsid w:val="00D22D14"/>
    <w:rsid w:val="00D239C2"/>
    <w:rsid w:val="00D239F3"/>
    <w:rsid w:val="00D24BCA"/>
    <w:rsid w:val="00D27DFC"/>
    <w:rsid w:val="00D4104F"/>
    <w:rsid w:val="00D444E5"/>
    <w:rsid w:val="00D456D0"/>
    <w:rsid w:val="00D46F48"/>
    <w:rsid w:val="00D472BD"/>
    <w:rsid w:val="00D52CBF"/>
    <w:rsid w:val="00D61471"/>
    <w:rsid w:val="00D711EB"/>
    <w:rsid w:val="00D7480D"/>
    <w:rsid w:val="00DA20D6"/>
    <w:rsid w:val="00DA2C6A"/>
    <w:rsid w:val="00DB0FB9"/>
    <w:rsid w:val="00DB2B5A"/>
    <w:rsid w:val="00DC455C"/>
    <w:rsid w:val="00DC66E9"/>
    <w:rsid w:val="00DC7B59"/>
    <w:rsid w:val="00DD2414"/>
    <w:rsid w:val="00DE4587"/>
    <w:rsid w:val="00DE5B8D"/>
    <w:rsid w:val="00DF0C33"/>
    <w:rsid w:val="00E0308E"/>
    <w:rsid w:val="00E0345E"/>
    <w:rsid w:val="00E04806"/>
    <w:rsid w:val="00E0764B"/>
    <w:rsid w:val="00E11C49"/>
    <w:rsid w:val="00E133A9"/>
    <w:rsid w:val="00E43270"/>
    <w:rsid w:val="00E441EF"/>
    <w:rsid w:val="00E449CD"/>
    <w:rsid w:val="00E4514C"/>
    <w:rsid w:val="00E505ED"/>
    <w:rsid w:val="00E639F4"/>
    <w:rsid w:val="00E72892"/>
    <w:rsid w:val="00E7649A"/>
    <w:rsid w:val="00E84B1E"/>
    <w:rsid w:val="00E8542F"/>
    <w:rsid w:val="00E91F52"/>
    <w:rsid w:val="00E9776E"/>
    <w:rsid w:val="00EB2AC2"/>
    <w:rsid w:val="00EB5EE0"/>
    <w:rsid w:val="00EC3719"/>
    <w:rsid w:val="00ED27BB"/>
    <w:rsid w:val="00ED6EF9"/>
    <w:rsid w:val="00EE1650"/>
    <w:rsid w:val="00EE261C"/>
    <w:rsid w:val="00EE3F4F"/>
    <w:rsid w:val="00EF5436"/>
    <w:rsid w:val="00F00196"/>
    <w:rsid w:val="00F35EB2"/>
    <w:rsid w:val="00F36FB2"/>
    <w:rsid w:val="00F45A94"/>
    <w:rsid w:val="00F52C4D"/>
    <w:rsid w:val="00F533D1"/>
    <w:rsid w:val="00F54154"/>
    <w:rsid w:val="00F66D01"/>
    <w:rsid w:val="00F6793F"/>
    <w:rsid w:val="00F71044"/>
    <w:rsid w:val="00F738B5"/>
    <w:rsid w:val="00F77E11"/>
    <w:rsid w:val="00F96932"/>
    <w:rsid w:val="00FA1209"/>
    <w:rsid w:val="00FA15BC"/>
    <w:rsid w:val="00FA3ED9"/>
    <w:rsid w:val="00FB5002"/>
    <w:rsid w:val="00FB596F"/>
    <w:rsid w:val="00FC3187"/>
    <w:rsid w:val="00FC3856"/>
    <w:rsid w:val="00FC4616"/>
    <w:rsid w:val="00FD4FF3"/>
    <w:rsid w:val="00FE6080"/>
    <w:rsid w:val="00FE726A"/>
    <w:rsid w:val="00FF3D0C"/>
    <w:rsid w:val="00FF3E70"/>
    <w:rsid w:val="019571A4"/>
    <w:rsid w:val="01C917F0"/>
    <w:rsid w:val="01D26DCC"/>
    <w:rsid w:val="021C1E0F"/>
    <w:rsid w:val="023C41F5"/>
    <w:rsid w:val="028F4629"/>
    <w:rsid w:val="02A8425B"/>
    <w:rsid w:val="033D5A1C"/>
    <w:rsid w:val="03595B8B"/>
    <w:rsid w:val="042A09CF"/>
    <w:rsid w:val="043D1681"/>
    <w:rsid w:val="04506123"/>
    <w:rsid w:val="0466617C"/>
    <w:rsid w:val="04AB5D37"/>
    <w:rsid w:val="04BA64C7"/>
    <w:rsid w:val="04BB25D5"/>
    <w:rsid w:val="056B10A4"/>
    <w:rsid w:val="058F1702"/>
    <w:rsid w:val="061F6AB5"/>
    <w:rsid w:val="067B3BB7"/>
    <w:rsid w:val="068C3AD4"/>
    <w:rsid w:val="06AF3684"/>
    <w:rsid w:val="06B57D92"/>
    <w:rsid w:val="079B7E09"/>
    <w:rsid w:val="07C03DF5"/>
    <w:rsid w:val="07C644D1"/>
    <w:rsid w:val="08270E25"/>
    <w:rsid w:val="08321601"/>
    <w:rsid w:val="085B7AAA"/>
    <w:rsid w:val="08C452ED"/>
    <w:rsid w:val="08F935C9"/>
    <w:rsid w:val="091A5CFC"/>
    <w:rsid w:val="09522BA0"/>
    <w:rsid w:val="095E0D6F"/>
    <w:rsid w:val="09800F76"/>
    <w:rsid w:val="09D321BC"/>
    <w:rsid w:val="0A0E24A0"/>
    <w:rsid w:val="0A4038E0"/>
    <w:rsid w:val="0AB22F66"/>
    <w:rsid w:val="0AE831BC"/>
    <w:rsid w:val="0AFD1714"/>
    <w:rsid w:val="0B11653F"/>
    <w:rsid w:val="0B4F5A78"/>
    <w:rsid w:val="0B5C2DB3"/>
    <w:rsid w:val="0B6F3FD2"/>
    <w:rsid w:val="0BAF0379"/>
    <w:rsid w:val="0BBE6130"/>
    <w:rsid w:val="0BE92617"/>
    <w:rsid w:val="0BF67DEB"/>
    <w:rsid w:val="0BF95DC5"/>
    <w:rsid w:val="0C5267C3"/>
    <w:rsid w:val="0CE515B5"/>
    <w:rsid w:val="0D282A67"/>
    <w:rsid w:val="0DC71BA8"/>
    <w:rsid w:val="0DDD75CE"/>
    <w:rsid w:val="0E035039"/>
    <w:rsid w:val="0E163773"/>
    <w:rsid w:val="0E737AC2"/>
    <w:rsid w:val="0E8222DB"/>
    <w:rsid w:val="0F3B068B"/>
    <w:rsid w:val="0FA605E4"/>
    <w:rsid w:val="10097863"/>
    <w:rsid w:val="101E77FF"/>
    <w:rsid w:val="10947F1F"/>
    <w:rsid w:val="110E4E87"/>
    <w:rsid w:val="115F7F76"/>
    <w:rsid w:val="118118C0"/>
    <w:rsid w:val="11AC1671"/>
    <w:rsid w:val="11CB0ABE"/>
    <w:rsid w:val="1203237C"/>
    <w:rsid w:val="128B1090"/>
    <w:rsid w:val="12DC44B7"/>
    <w:rsid w:val="131C1EDB"/>
    <w:rsid w:val="13756A7B"/>
    <w:rsid w:val="13771DFE"/>
    <w:rsid w:val="13A938D2"/>
    <w:rsid w:val="13B36AA6"/>
    <w:rsid w:val="13D90223"/>
    <w:rsid w:val="13DB4923"/>
    <w:rsid w:val="1406182E"/>
    <w:rsid w:val="148F7048"/>
    <w:rsid w:val="155D099A"/>
    <w:rsid w:val="15F57C51"/>
    <w:rsid w:val="15FF5772"/>
    <w:rsid w:val="160568C2"/>
    <w:rsid w:val="16332F7C"/>
    <w:rsid w:val="16574435"/>
    <w:rsid w:val="16AC1CA9"/>
    <w:rsid w:val="16F21710"/>
    <w:rsid w:val="17083CFD"/>
    <w:rsid w:val="171A79F6"/>
    <w:rsid w:val="17250BFD"/>
    <w:rsid w:val="174E6F4B"/>
    <w:rsid w:val="1757480F"/>
    <w:rsid w:val="17936E30"/>
    <w:rsid w:val="17AD6F65"/>
    <w:rsid w:val="17E543A0"/>
    <w:rsid w:val="17F54DC5"/>
    <w:rsid w:val="18030493"/>
    <w:rsid w:val="183304C3"/>
    <w:rsid w:val="1860228C"/>
    <w:rsid w:val="19544717"/>
    <w:rsid w:val="19694CBC"/>
    <w:rsid w:val="196E79D3"/>
    <w:rsid w:val="19A3638A"/>
    <w:rsid w:val="1A0C52EE"/>
    <w:rsid w:val="1A3D3D9B"/>
    <w:rsid w:val="1A4511A7"/>
    <w:rsid w:val="1A7309F2"/>
    <w:rsid w:val="1AE4582E"/>
    <w:rsid w:val="1B2E6E70"/>
    <w:rsid w:val="1C2C00A6"/>
    <w:rsid w:val="1C2F6749"/>
    <w:rsid w:val="1C6F7621"/>
    <w:rsid w:val="1CAB7398"/>
    <w:rsid w:val="1CCF10FB"/>
    <w:rsid w:val="1D050D2B"/>
    <w:rsid w:val="1D061E52"/>
    <w:rsid w:val="1D1A12F0"/>
    <w:rsid w:val="1D6D56FC"/>
    <w:rsid w:val="1DA65849"/>
    <w:rsid w:val="1DE175C3"/>
    <w:rsid w:val="1E1A6E0A"/>
    <w:rsid w:val="1E357066"/>
    <w:rsid w:val="1E946EB8"/>
    <w:rsid w:val="1EAE27A1"/>
    <w:rsid w:val="1EDC5D54"/>
    <w:rsid w:val="1EFFFB24"/>
    <w:rsid w:val="1F5514F4"/>
    <w:rsid w:val="1F641B0F"/>
    <w:rsid w:val="1FB9701B"/>
    <w:rsid w:val="20142E25"/>
    <w:rsid w:val="204600D2"/>
    <w:rsid w:val="209157D4"/>
    <w:rsid w:val="20D87472"/>
    <w:rsid w:val="210202B6"/>
    <w:rsid w:val="21035D38"/>
    <w:rsid w:val="211B33DF"/>
    <w:rsid w:val="21540FBA"/>
    <w:rsid w:val="21D2510C"/>
    <w:rsid w:val="22061E44"/>
    <w:rsid w:val="22093067"/>
    <w:rsid w:val="221F520B"/>
    <w:rsid w:val="22D075AD"/>
    <w:rsid w:val="23011FA9"/>
    <w:rsid w:val="238E2E63"/>
    <w:rsid w:val="239B2179"/>
    <w:rsid w:val="23CA2971"/>
    <w:rsid w:val="244075C1"/>
    <w:rsid w:val="24672DFE"/>
    <w:rsid w:val="246C4B06"/>
    <w:rsid w:val="255635B6"/>
    <w:rsid w:val="25893F23"/>
    <w:rsid w:val="262C2580"/>
    <w:rsid w:val="264B4B51"/>
    <w:rsid w:val="264B69CB"/>
    <w:rsid w:val="26740760"/>
    <w:rsid w:val="2691096D"/>
    <w:rsid w:val="269D72C4"/>
    <w:rsid w:val="26DF6A52"/>
    <w:rsid w:val="270561F0"/>
    <w:rsid w:val="273E5B72"/>
    <w:rsid w:val="274D4B08"/>
    <w:rsid w:val="275B6025"/>
    <w:rsid w:val="27C918AB"/>
    <w:rsid w:val="27EC7D52"/>
    <w:rsid w:val="288B1F91"/>
    <w:rsid w:val="289E4771"/>
    <w:rsid w:val="290676DC"/>
    <w:rsid w:val="2929521C"/>
    <w:rsid w:val="292C0FE5"/>
    <w:rsid w:val="293F0B3B"/>
    <w:rsid w:val="29B64C00"/>
    <w:rsid w:val="2A1B39A1"/>
    <w:rsid w:val="2A3B6454"/>
    <w:rsid w:val="2A7C4CBB"/>
    <w:rsid w:val="2AC25434"/>
    <w:rsid w:val="2ADF2133"/>
    <w:rsid w:val="2AE57BCE"/>
    <w:rsid w:val="2B205C57"/>
    <w:rsid w:val="2B222FB9"/>
    <w:rsid w:val="2B3D11DD"/>
    <w:rsid w:val="2B867136"/>
    <w:rsid w:val="2C542347"/>
    <w:rsid w:val="2C88151C"/>
    <w:rsid w:val="2CA83FD0"/>
    <w:rsid w:val="2CA96AB9"/>
    <w:rsid w:val="2CB84940"/>
    <w:rsid w:val="2CDC4780"/>
    <w:rsid w:val="2CEE2546"/>
    <w:rsid w:val="2CFB0CA1"/>
    <w:rsid w:val="2D013765"/>
    <w:rsid w:val="2DA76FFE"/>
    <w:rsid w:val="2DAA2A4D"/>
    <w:rsid w:val="2E250044"/>
    <w:rsid w:val="2E345C65"/>
    <w:rsid w:val="2E5B4224"/>
    <w:rsid w:val="2E732F26"/>
    <w:rsid w:val="2F1F5CDD"/>
    <w:rsid w:val="2F6B035B"/>
    <w:rsid w:val="2F971C2E"/>
    <w:rsid w:val="2FBD48E2"/>
    <w:rsid w:val="2FC17A65"/>
    <w:rsid w:val="2FFD401B"/>
    <w:rsid w:val="30291A13"/>
    <w:rsid w:val="30F962A3"/>
    <w:rsid w:val="312D29B3"/>
    <w:rsid w:val="313047C4"/>
    <w:rsid w:val="31B453AB"/>
    <w:rsid w:val="31BE5E9D"/>
    <w:rsid w:val="31E06CBE"/>
    <w:rsid w:val="3267794E"/>
    <w:rsid w:val="32B54B96"/>
    <w:rsid w:val="32EB19C9"/>
    <w:rsid w:val="33275F94"/>
    <w:rsid w:val="335A2B4F"/>
    <w:rsid w:val="336B45E5"/>
    <w:rsid w:val="34255A9B"/>
    <w:rsid w:val="34B20B82"/>
    <w:rsid w:val="34B7500A"/>
    <w:rsid w:val="34E268A9"/>
    <w:rsid w:val="34F678C3"/>
    <w:rsid w:val="353A3CDC"/>
    <w:rsid w:val="354016EB"/>
    <w:rsid w:val="358E5B04"/>
    <w:rsid w:val="35B355F7"/>
    <w:rsid w:val="35DE7672"/>
    <w:rsid w:val="361800C4"/>
    <w:rsid w:val="3663634A"/>
    <w:rsid w:val="368E138D"/>
    <w:rsid w:val="3698771E"/>
    <w:rsid w:val="36987723"/>
    <w:rsid w:val="36DD0212"/>
    <w:rsid w:val="371C3076"/>
    <w:rsid w:val="37390DEB"/>
    <w:rsid w:val="37A778DB"/>
    <w:rsid w:val="37BB437D"/>
    <w:rsid w:val="37D83F93"/>
    <w:rsid w:val="382362A4"/>
    <w:rsid w:val="382F122A"/>
    <w:rsid w:val="384A2968"/>
    <w:rsid w:val="38D20DE1"/>
    <w:rsid w:val="38DE31DB"/>
    <w:rsid w:val="38FB4DEA"/>
    <w:rsid w:val="39062BAA"/>
    <w:rsid w:val="39430981"/>
    <w:rsid w:val="3A1A0AEB"/>
    <w:rsid w:val="3A856A0F"/>
    <w:rsid w:val="3AA54D45"/>
    <w:rsid w:val="3AF3189C"/>
    <w:rsid w:val="3B1C5C89"/>
    <w:rsid w:val="3BBA4322"/>
    <w:rsid w:val="3C111A19"/>
    <w:rsid w:val="3C2165AA"/>
    <w:rsid w:val="3C6472A5"/>
    <w:rsid w:val="3C8D359F"/>
    <w:rsid w:val="3CE27B73"/>
    <w:rsid w:val="3D034824"/>
    <w:rsid w:val="3D115212"/>
    <w:rsid w:val="3D211F38"/>
    <w:rsid w:val="3D510270"/>
    <w:rsid w:val="3D515C28"/>
    <w:rsid w:val="3DF44458"/>
    <w:rsid w:val="3DFEF61D"/>
    <w:rsid w:val="3E1107E5"/>
    <w:rsid w:val="3E1C3B38"/>
    <w:rsid w:val="3E5C3B5C"/>
    <w:rsid w:val="3EDF4135"/>
    <w:rsid w:val="3F7D1BBE"/>
    <w:rsid w:val="3FB2592F"/>
    <w:rsid w:val="3FB55092"/>
    <w:rsid w:val="3FC6744C"/>
    <w:rsid w:val="3FD8434D"/>
    <w:rsid w:val="3FF3269A"/>
    <w:rsid w:val="401764AE"/>
    <w:rsid w:val="402D51B7"/>
    <w:rsid w:val="40B9143D"/>
    <w:rsid w:val="40F44607"/>
    <w:rsid w:val="411658D2"/>
    <w:rsid w:val="412D71FD"/>
    <w:rsid w:val="413E4F19"/>
    <w:rsid w:val="41505924"/>
    <w:rsid w:val="41801BCC"/>
    <w:rsid w:val="41B80A98"/>
    <w:rsid w:val="41B866CE"/>
    <w:rsid w:val="41B90FE0"/>
    <w:rsid w:val="41CC0A3C"/>
    <w:rsid w:val="41ED0F81"/>
    <w:rsid w:val="42014C57"/>
    <w:rsid w:val="425F5834"/>
    <w:rsid w:val="429E5424"/>
    <w:rsid w:val="42BA725C"/>
    <w:rsid w:val="43543DBB"/>
    <w:rsid w:val="435832D1"/>
    <w:rsid w:val="43583ECE"/>
    <w:rsid w:val="435A56EF"/>
    <w:rsid w:val="443548AB"/>
    <w:rsid w:val="444473A5"/>
    <w:rsid w:val="446A02D3"/>
    <w:rsid w:val="448239F1"/>
    <w:rsid w:val="44C853EB"/>
    <w:rsid w:val="44FF683E"/>
    <w:rsid w:val="45290D07"/>
    <w:rsid w:val="455C6BD8"/>
    <w:rsid w:val="4597661C"/>
    <w:rsid w:val="45AB388D"/>
    <w:rsid w:val="45CA13BF"/>
    <w:rsid w:val="463B50AD"/>
    <w:rsid w:val="46545AF7"/>
    <w:rsid w:val="469045BC"/>
    <w:rsid w:val="46E56A5F"/>
    <w:rsid w:val="47053A69"/>
    <w:rsid w:val="473A610B"/>
    <w:rsid w:val="475406A3"/>
    <w:rsid w:val="47AF1DD1"/>
    <w:rsid w:val="47B86BD3"/>
    <w:rsid w:val="482573EB"/>
    <w:rsid w:val="487B7DFA"/>
    <w:rsid w:val="488A1A0D"/>
    <w:rsid w:val="48C5247C"/>
    <w:rsid w:val="4921166D"/>
    <w:rsid w:val="49444A58"/>
    <w:rsid w:val="495B1666"/>
    <w:rsid w:val="49B128B8"/>
    <w:rsid w:val="49E74ACD"/>
    <w:rsid w:val="4A154318"/>
    <w:rsid w:val="4A5C2893"/>
    <w:rsid w:val="4A96396C"/>
    <w:rsid w:val="4A9C4A90"/>
    <w:rsid w:val="4AB30D1E"/>
    <w:rsid w:val="4ACA50C0"/>
    <w:rsid w:val="4B221D0C"/>
    <w:rsid w:val="4BB17792"/>
    <w:rsid w:val="4C0515C4"/>
    <w:rsid w:val="4CE253AA"/>
    <w:rsid w:val="4CFD094D"/>
    <w:rsid w:val="4D6B5B48"/>
    <w:rsid w:val="4DDC321D"/>
    <w:rsid w:val="4DEA6AA2"/>
    <w:rsid w:val="4E861663"/>
    <w:rsid w:val="4EDC58A6"/>
    <w:rsid w:val="4EE41888"/>
    <w:rsid w:val="4F2E6192"/>
    <w:rsid w:val="4F334FFF"/>
    <w:rsid w:val="4F3F3AB0"/>
    <w:rsid w:val="4F5819BC"/>
    <w:rsid w:val="4F8E4414"/>
    <w:rsid w:val="4FA45D92"/>
    <w:rsid w:val="4FAD5ABE"/>
    <w:rsid w:val="4FB27454"/>
    <w:rsid w:val="4FF83AC3"/>
    <w:rsid w:val="506A2AFE"/>
    <w:rsid w:val="50D46582"/>
    <w:rsid w:val="51473C5A"/>
    <w:rsid w:val="51CA36F3"/>
    <w:rsid w:val="51D90756"/>
    <w:rsid w:val="51F85787"/>
    <w:rsid w:val="527F50A6"/>
    <w:rsid w:val="52CB3561"/>
    <w:rsid w:val="53404825"/>
    <w:rsid w:val="53546608"/>
    <w:rsid w:val="53A70F92"/>
    <w:rsid w:val="540248E3"/>
    <w:rsid w:val="541A6706"/>
    <w:rsid w:val="544F6906"/>
    <w:rsid w:val="5456436D"/>
    <w:rsid w:val="54CB4732"/>
    <w:rsid w:val="5504377C"/>
    <w:rsid w:val="551B5793"/>
    <w:rsid w:val="55482300"/>
    <w:rsid w:val="55847A7A"/>
    <w:rsid w:val="564C5721"/>
    <w:rsid w:val="573F7EAC"/>
    <w:rsid w:val="57E60AD3"/>
    <w:rsid w:val="58231C78"/>
    <w:rsid w:val="587D49B7"/>
    <w:rsid w:val="588562C6"/>
    <w:rsid w:val="58C106A9"/>
    <w:rsid w:val="58C75E36"/>
    <w:rsid w:val="58D64DCB"/>
    <w:rsid w:val="58F5279F"/>
    <w:rsid w:val="5940002C"/>
    <w:rsid w:val="594B060D"/>
    <w:rsid w:val="597E6792"/>
    <w:rsid w:val="59C3610F"/>
    <w:rsid w:val="59F85803"/>
    <w:rsid w:val="5A016DE3"/>
    <w:rsid w:val="5A4178A0"/>
    <w:rsid w:val="5A4562A7"/>
    <w:rsid w:val="5A6279C1"/>
    <w:rsid w:val="5A8524F1"/>
    <w:rsid w:val="5AC45405"/>
    <w:rsid w:val="5AD36681"/>
    <w:rsid w:val="5B0B3250"/>
    <w:rsid w:val="5B4B7D53"/>
    <w:rsid w:val="5B956ECD"/>
    <w:rsid w:val="5C464AF3"/>
    <w:rsid w:val="5C59248E"/>
    <w:rsid w:val="5C813653"/>
    <w:rsid w:val="5C9B6887"/>
    <w:rsid w:val="5CCF2A0A"/>
    <w:rsid w:val="5CF466B8"/>
    <w:rsid w:val="5CFE10FD"/>
    <w:rsid w:val="5CFF1693"/>
    <w:rsid w:val="5D6121B1"/>
    <w:rsid w:val="5DAC51AB"/>
    <w:rsid w:val="5DB8393B"/>
    <w:rsid w:val="5E097E62"/>
    <w:rsid w:val="5E8D26AE"/>
    <w:rsid w:val="5F526256"/>
    <w:rsid w:val="5F964E5F"/>
    <w:rsid w:val="5FBD7995"/>
    <w:rsid w:val="5FCA1E36"/>
    <w:rsid w:val="5FF57659"/>
    <w:rsid w:val="600118F0"/>
    <w:rsid w:val="60530A95"/>
    <w:rsid w:val="608A69F1"/>
    <w:rsid w:val="609C218E"/>
    <w:rsid w:val="61293C2F"/>
    <w:rsid w:val="612F4F80"/>
    <w:rsid w:val="613175F5"/>
    <w:rsid w:val="61AC1EF1"/>
    <w:rsid w:val="61C86CA3"/>
    <w:rsid w:val="623801B3"/>
    <w:rsid w:val="62631AFA"/>
    <w:rsid w:val="63242E5B"/>
    <w:rsid w:val="64990DAE"/>
    <w:rsid w:val="64C00563"/>
    <w:rsid w:val="65011646"/>
    <w:rsid w:val="650B2141"/>
    <w:rsid w:val="65310993"/>
    <w:rsid w:val="654C6FBE"/>
    <w:rsid w:val="657F6514"/>
    <w:rsid w:val="65A83D81"/>
    <w:rsid w:val="65EF15EA"/>
    <w:rsid w:val="65F56152"/>
    <w:rsid w:val="661F1FFD"/>
    <w:rsid w:val="663D637D"/>
    <w:rsid w:val="664571D6"/>
    <w:rsid w:val="66AA497C"/>
    <w:rsid w:val="66C73729"/>
    <w:rsid w:val="66D01339"/>
    <w:rsid w:val="66D276B8"/>
    <w:rsid w:val="66F53062"/>
    <w:rsid w:val="679909C4"/>
    <w:rsid w:val="68273139"/>
    <w:rsid w:val="689E0944"/>
    <w:rsid w:val="68C2052A"/>
    <w:rsid w:val="68CE3585"/>
    <w:rsid w:val="68D27805"/>
    <w:rsid w:val="691D734F"/>
    <w:rsid w:val="694B4013"/>
    <w:rsid w:val="6972117B"/>
    <w:rsid w:val="698A3057"/>
    <w:rsid w:val="69FA19C4"/>
    <w:rsid w:val="6A4C28F4"/>
    <w:rsid w:val="6AE514C5"/>
    <w:rsid w:val="6AEC4C89"/>
    <w:rsid w:val="6B1854C0"/>
    <w:rsid w:val="6B3C21FD"/>
    <w:rsid w:val="6B6320BC"/>
    <w:rsid w:val="6B6D30FE"/>
    <w:rsid w:val="6B75365C"/>
    <w:rsid w:val="6C1726E4"/>
    <w:rsid w:val="6C255B5C"/>
    <w:rsid w:val="6CC27A7A"/>
    <w:rsid w:val="6CD53018"/>
    <w:rsid w:val="6D232AC5"/>
    <w:rsid w:val="6D7C5B17"/>
    <w:rsid w:val="6D9F34B9"/>
    <w:rsid w:val="6DB22C06"/>
    <w:rsid w:val="6EA0700B"/>
    <w:rsid w:val="6EB14D27"/>
    <w:rsid w:val="6EE3378C"/>
    <w:rsid w:val="6EE7187D"/>
    <w:rsid w:val="6F080FB9"/>
    <w:rsid w:val="6F0F4163"/>
    <w:rsid w:val="6F1624CD"/>
    <w:rsid w:val="6F3F7AC4"/>
    <w:rsid w:val="6F536FAB"/>
    <w:rsid w:val="6F7458DC"/>
    <w:rsid w:val="6FB239C9"/>
    <w:rsid w:val="6FF808C2"/>
    <w:rsid w:val="70827064"/>
    <w:rsid w:val="7083553E"/>
    <w:rsid w:val="708625DD"/>
    <w:rsid w:val="708924C9"/>
    <w:rsid w:val="716F71A9"/>
    <w:rsid w:val="72031C1B"/>
    <w:rsid w:val="7220374A"/>
    <w:rsid w:val="723F61FD"/>
    <w:rsid w:val="72460EA3"/>
    <w:rsid w:val="726B4BC3"/>
    <w:rsid w:val="7278340F"/>
    <w:rsid w:val="72B95EC7"/>
    <w:rsid w:val="73353D81"/>
    <w:rsid w:val="73F50523"/>
    <w:rsid w:val="742E508B"/>
    <w:rsid w:val="74484054"/>
    <w:rsid w:val="751524A3"/>
    <w:rsid w:val="751D452A"/>
    <w:rsid w:val="75507C28"/>
    <w:rsid w:val="760A4A79"/>
    <w:rsid w:val="764C3824"/>
    <w:rsid w:val="76C46BE6"/>
    <w:rsid w:val="76CA2DFB"/>
    <w:rsid w:val="771C4E1E"/>
    <w:rsid w:val="771D5670"/>
    <w:rsid w:val="7757395A"/>
    <w:rsid w:val="778E18B2"/>
    <w:rsid w:val="779A31F2"/>
    <w:rsid w:val="77CB1717"/>
    <w:rsid w:val="781B279B"/>
    <w:rsid w:val="786546F5"/>
    <w:rsid w:val="788758AB"/>
    <w:rsid w:val="78D46D79"/>
    <w:rsid w:val="78F8392B"/>
    <w:rsid w:val="790B5926"/>
    <w:rsid w:val="797161CD"/>
    <w:rsid w:val="79A66ACD"/>
    <w:rsid w:val="79AE2A4F"/>
    <w:rsid w:val="79E922C5"/>
    <w:rsid w:val="79EE19F7"/>
    <w:rsid w:val="79F0361A"/>
    <w:rsid w:val="79FC2CB0"/>
    <w:rsid w:val="79FF03B2"/>
    <w:rsid w:val="7A4B0019"/>
    <w:rsid w:val="7A5A304A"/>
    <w:rsid w:val="7B166C80"/>
    <w:rsid w:val="7B8A5161"/>
    <w:rsid w:val="7B905FFE"/>
    <w:rsid w:val="7C3670D8"/>
    <w:rsid w:val="7C77117A"/>
    <w:rsid w:val="7CD16C27"/>
    <w:rsid w:val="7DDF4311"/>
    <w:rsid w:val="7DFC793D"/>
    <w:rsid w:val="7E01111B"/>
    <w:rsid w:val="7E025A70"/>
    <w:rsid w:val="7E173813"/>
    <w:rsid w:val="7E230E82"/>
    <w:rsid w:val="7E2B06FB"/>
    <w:rsid w:val="7E607661"/>
    <w:rsid w:val="7ECE7C95"/>
    <w:rsid w:val="7F350893"/>
    <w:rsid w:val="7F3C6183"/>
    <w:rsid w:val="7F5A3601"/>
    <w:rsid w:val="7F651F26"/>
    <w:rsid w:val="7F831D43"/>
    <w:rsid w:val="7FD44FC5"/>
    <w:rsid w:val="7FD75F49"/>
    <w:rsid w:val="D7FDD5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0" w:name="footnote reference"/>
    <w:lsdException w:uiPriority="99" w:name="annotation reference"/>
    <w:lsdException w:uiPriority="99" w:name="line number"/>
    <w:lsdException w:qFormat="1" w:unhideWhenUsed="0" w:uiPriority="0" w:semiHidden="0" w:name="page number"/>
    <w:lsdException w:qFormat="1" w:unhideWhenUsed="0" w:uiPriority="99" w:semiHidden="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qFormat="1" w:uiPriority="0"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3"/>
    <w:link w:val="38"/>
    <w:qFormat/>
    <w:uiPriority w:val="9"/>
    <w:pPr>
      <w:spacing w:before="480"/>
      <w:outlineLvl w:val="0"/>
    </w:pPr>
    <w:rPr>
      <w:b/>
      <w:bCs/>
      <w:sz w:val="28"/>
      <w:szCs w:val="28"/>
      <w:lang w:eastAsia="ja-JP"/>
    </w:rPr>
  </w:style>
  <w:style w:type="paragraph" w:styleId="3">
    <w:name w:val="heading 2"/>
    <w:basedOn w:val="1"/>
    <w:link w:val="51"/>
    <w:unhideWhenUsed/>
    <w:qFormat/>
    <w:uiPriority w:val="9"/>
    <w:pPr>
      <w:outlineLvl w:val="1"/>
    </w:pPr>
    <w:rPr>
      <w:color w:val="2E75B6" w:themeColor="accent1" w:themeShade="BF"/>
      <w:sz w:val="26"/>
      <w:szCs w:val="26"/>
    </w:rPr>
  </w:style>
  <w:style w:type="paragraph" w:styleId="4">
    <w:name w:val="heading 3"/>
    <w:basedOn w:val="1"/>
    <w:next w:val="1"/>
    <w:link w:val="39"/>
    <w:unhideWhenUsed/>
    <w:qFormat/>
    <w:uiPriority w:val="9"/>
    <w:pPr>
      <w:keepNext/>
      <w:keepLines/>
      <w:spacing w:before="40" w:after="0" w:line="259" w:lineRule="auto"/>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71"/>
    <w:autoRedefine/>
    <w:unhideWhenUsed/>
    <w:qFormat/>
    <w:uiPriority w:val="9"/>
    <w:pPr>
      <w:keepNext/>
      <w:keepLines/>
      <w:spacing w:before="40" w:after="0" w:line="360" w:lineRule="auto"/>
      <w:ind w:left="864" w:hanging="864"/>
      <w:outlineLvl w:val="3"/>
    </w:pPr>
    <w:rPr>
      <w:rFonts w:ascii="Times New Roman" w:hAnsi="Times New Roman" w:eastAsia="Times New Roman" w:cs="Times New Roman"/>
      <w:i/>
      <w:iCs/>
      <w:sz w:val="24"/>
    </w:rPr>
  </w:style>
  <w:style w:type="paragraph" w:styleId="6">
    <w:name w:val="heading 5"/>
    <w:basedOn w:val="1"/>
    <w:next w:val="1"/>
    <w:link w:val="72"/>
    <w:qFormat/>
    <w:uiPriority w:val="9"/>
    <w:pPr>
      <w:spacing w:before="240" w:after="60"/>
      <w:outlineLvl w:val="4"/>
    </w:pPr>
    <w:rPr>
      <w:rFonts w:ascii="Calibri" w:hAnsi="Calibri" w:eastAsia="Times New Roman" w:cs="Times New Roman"/>
      <w:b/>
      <w:bCs/>
      <w:i/>
      <w:iCs/>
      <w:sz w:val="26"/>
      <w:szCs w:val="26"/>
    </w:rPr>
  </w:style>
  <w:style w:type="paragraph" w:styleId="7">
    <w:name w:val="heading 6"/>
    <w:basedOn w:val="1"/>
    <w:next w:val="1"/>
    <w:link w:val="73"/>
    <w:semiHidden/>
    <w:unhideWhenUsed/>
    <w:qFormat/>
    <w:uiPriority w:val="9"/>
    <w:pPr>
      <w:keepNext/>
      <w:keepLines/>
      <w:spacing w:before="40" w:after="0" w:line="360" w:lineRule="auto"/>
      <w:ind w:left="1152" w:hanging="1152"/>
      <w:outlineLvl w:val="5"/>
    </w:pPr>
    <w:rPr>
      <w:rFonts w:ascii="Calibri Light" w:hAnsi="Calibri Light" w:eastAsia="Times New Roman" w:cs="Times New Roman"/>
      <w:color w:val="1F3763"/>
      <w:sz w:val="24"/>
    </w:rPr>
  </w:style>
  <w:style w:type="paragraph" w:styleId="8">
    <w:name w:val="heading 7"/>
    <w:basedOn w:val="1"/>
    <w:next w:val="1"/>
    <w:link w:val="74"/>
    <w:semiHidden/>
    <w:unhideWhenUsed/>
    <w:qFormat/>
    <w:uiPriority w:val="9"/>
    <w:pPr>
      <w:keepNext/>
      <w:keepLines/>
      <w:spacing w:before="40" w:after="0" w:line="360" w:lineRule="auto"/>
      <w:ind w:left="1296" w:hanging="1296"/>
      <w:outlineLvl w:val="6"/>
    </w:pPr>
    <w:rPr>
      <w:rFonts w:ascii="Calibri Light" w:hAnsi="Calibri Light" w:eastAsia="Times New Roman" w:cs="Times New Roman"/>
      <w:i/>
      <w:iCs/>
      <w:color w:val="1F3763"/>
      <w:sz w:val="24"/>
    </w:rPr>
  </w:style>
  <w:style w:type="paragraph" w:styleId="9">
    <w:name w:val="heading 8"/>
    <w:basedOn w:val="1"/>
    <w:next w:val="1"/>
    <w:link w:val="75"/>
    <w:semiHidden/>
    <w:unhideWhenUsed/>
    <w:qFormat/>
    <w:uiPriority w:val="9"/>
    <w:pPr>
      <w:keepNext/>
      <w:keepLines/>
      <w:spacing w:before="40" w:after="0" w:line="360" w:lineRule="auto"/>
      <w:ind w:left="1440" w:hanging="1440"/>
      <w:outlineLvl w:val="7"/>
    </w:pPr>
    <w:rPr>
      <w:rFonts w:ascii="Calibri Light" w:hAnsi="Calibri Light" w:eastAsia="Times New Roman" w:cs="Times New Roman"/>
      <w:color w:val="272727"/>
      <w:sz w:val="21"/>
      <w:szCs w:val="21"/>
    </w:rPr>
  </w:style>
  <w:style w:type="paragraph" w:styleId="10">
    <w:name w:val="heading 9"/>
    <w:basedOn w:val="1"/>
    <w:next w:val="1"/>
    <w:link w:val="76"/>
    <w:semiHidden/>
    <w:unhideWhenUsed/>
    <w:qFormat/>
    <w:uiPriority w:val="9"/>
    <w:pPr>
      <w:keepNext/>
      <w:keepLines/>
      <w:spacing w:before="40" w:after="0" w:line="360" w:lineRule="auto"/>
      <w:ind w:left="1584" w:hanging="1584"/>
      <w:outlineLvl w:val="8"/>
    </w:pPr>
    <w:rPr>
      <w:rFonts w:ascii="Calibri Light" w:hAnsi="Calibri Light" w:eastAsia="Times New Roman" w:cs="Times New Roman"/>
      <w:i/>
      <w:iCs/>
      <w:color w:val="272727"/>
      <w:sz w:val="21"/>
      <w:szCs w:val="21"/>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2"/>
    <w:semiHidden/>
    <w:unhideWhenUsed/>
    <w:qFormat/>
    <w:uiPriority w:val="99"/>
    <w:pPr>
      <w:spacing w:after="0" w:line="240" w:lineRule="auto"/>
    </w:pPr>
    <w:rPr>
      <w:rFonts w:ascii="Tahoma" w:hAnsi="Tahoma" w:cs="Tahoma"/>
      <w:sz w:val="16"/>
      <w:szCs w:val="16"/>
    </w:rPr>
  </w:style>
  <w:style w:type="paragraph" w:styleId="14">
    <w:name w:val="Body Text"/>
    <w:basedOn w:val="1"/>
    <w:link w:val="64"/>
    <w:unhideWhenUsed/>
    <w:qFormat/>
    <w:uiPriority w:val="1"/>
    <w:pPr>
      <w:spacing w:after="120"/>
    </w:pPr>
    <w:rPr>
      <w:rFonts w:asciiTheme="majorBidi" w:hAnsiTheme="majorBidi" w:eastAsiaTheme="minorEastAsia"/>
      <w:sz w:val="24"/>
    </w:rPr>
  </w:style>
  <w:style w:type="paragraph" w:styleId="15">
    <w:name w:val="caption"/>
    <w:basedOn w:val="1"/>
    <w:next w:val="1"/>
    <w:unhideWhenUsed/>
    <w:qFormat/>
    <w:uiPriority w:val="35"/>
    <w:pPr>
      <w:spacing w:line="240" w:lineRule="auto"/>
    </w:pPr>
    <w:rPr>
      <w:i/>
      <w:iCs/>
      <w:color w:val="44546A" w:themeColor="text2"/>
      <w:sz w:val="18"/>
      <w:szCs w:val="18"/>
      <w14:textFill>
        <w14:solidFill>
          <w14:schemeClr w14:val="tx2"/>
        </w14:solidFill>
      </w14:textFill>
    </w:rPr>
  </w:style>
  <w:style w:type="paragraph" w:styleId="16">
    <w:name w:val="annotation text"/>
    <w:basedOn w:val="1"/>
    <w:link w:val="58"/>
    <w:semiHidden/>
    <w:unhideWhenUsed/>
    <w:qFormat/>
    <w:uiPriority w:val="99"/>
    <w:pPr>
      <w:suppressAutoHyphens/>
      <w:spacing w:beforeAutospacing="1" w:after="0" w:afterAutospacing="1" w:line="240" w:lineRule="auto"/>
      <w:ind w:firstLine="720"/>
      <w:jc w:val="both"/>
    </w:pPr>
    <w:rPr>
      <w:rFonts w:ascii="Times New Roman" w:hAnsi="Times New Roman" w:eastAsia="Calibri"/>
      <w:color w:val="000000" w:themeColor="text1"/>
      <w:sz w:val="20"/>
      <w:szCs w:val="20"/>
      <w14:textFill>
        <w14:solidFill>
          <w14:schemeClr w14:val="tx1"/>
        </w14:solidFill>
      </w14:textFill>
    </w:rPr>
  </w:style>
  <w:style w:type="character" w:styleId="17">
    <w:name w:val="Emphasis"/>
    <w:basedOn w:val="11"/>
    <w:qFormat/>
    <w:uiPriority w:val="20"/>
    <w:rPr>
      <w:i/>
      <w:iCs/>
    </w:rPr>
  </w:style>
  <w:style w:type="character" w:styleId="18">
    <w:name w:val="endnote reference"/>
    <w:qFormat/>
    <w:uiPriority w:val="99"/>
    <w:rPr>
      <w:vertAlign w:val="superscript"/>
    </w:rPr>
  </w:style>
  <w:style w:type="paragraph" w:styleId="19">
    <w:name w:val="endnote text"/>
    <w:basedOn w:val="1"/>
    <w:link w:val="78"/>
    <w:semiHidden/>
    <w:unhideWhenUsed/>
    <w:qFormat/>
    <w:uiPriority w:val="99"/>
    <w:rPr>
      <w:rFonts w:ascii="Calibri" w:hAnsi="Calibri" w:eastAsia="Times New Roman" w:cs="Times New Roman"/>
      <w:sz w:val="20"/>
      <w:szCs w:val="20"/>
    </w:rPr>
  </w:style>
  <w:style w:type="character" w:styleId="20">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21">
    <w:name w:val="footer"/>
    <w:basedOn w:val="1"/>
    <w:link w:val="41"/>
    <w:unhideWhenUsed/>
    <w:qFormat/>
    <w:uiPriority w:val="99"/>
    <w:pPr>
      <w:tabs>
        <w:tab w:val="center" w:pos="4680"/>
        <w:tab w:val="right" w:pos="9360"/>
      </w:tabs>
      <w:spacing w:after="0" w:line="240" w:lineRule="auto"/>
    </w:pPr>
  </w:style>
  <w:style w:type="character" w:styleId="22">
    <w:name w:val="footnote reference"/>
    <w:basedOn w:val="11"/>
    <w:semiHidden/>
    <w:unhideWhenUsed/>
    <w:qFormat/>
    <w:uiPriority w:val="0"/>
    <w:rPr>
      <w:vertAlign w:val="superscript"/>
    </w:rPr>
  </w:style>
  <w:style w:type="paragraph" w:styleId="23">
    <w:name w:val="footnote text"/>
    <w:basedOn w:val="1"/>
    <w:link w:val="44"/>
    <w:semiHidden/>
    <w:unhideWhenUsed/>
    <w:qFormat/>
    <w:uiPriority w:val="0"/>
    <w:pPr>
      <w:spacing w:after="0" w:line="240" w:lineRule="auto"/>
    </w:pPr>
    <w:rPr>
      <w:sz w:val="20"/>
      <w:szCs w:val="20"/>
    </w:rPr>
  </w:style>
  <w:style w:type="paragraph" w:styleId="24">
    <w:name w:val="header"/>
    <w:basedOn w:val="1"/>
    <w:link w:val="40"/>
    <w:unhideWhenUsed/>
    <w:qFormat/>
    <w:uiPriority w:val="99"/>
    <w:pPr>
      <w:tabs>
        <w:tab w:val="center" w:pos="4680"/>
        <w:tab w:val="right" w:pos="9360"/>
      </w:tabs>
      <w:spacing w:after="0" w:line="240" w:lineRule="auto"/>
    </w:pPr>
  </w:style>
  <w:style w:type="character" w:styleId="25">
    <w:name w:val="Hyperlink"/>
    <w:basedOn w:val="11"/>
    <w:unhideWhenUsed/>
    <w:qFormat/>
    <w:uiPriority w:val="99"/>
    <w:rPr>
      <w:color w:val="0000FF"/>
      <w:u w:val="single"/>
    </w:rPr>
  </w:style>
  <w:style w:type="paragraph" w:styleId="2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27">
    <w:name w:val="page number"/>
    <w:basedOn w:val="11"/>
    <w:qFormat/>
    <w:uiPriority w:val="0"/>
  </w:style>
  <w:style w:type="character" w:styleId="28">
    <w:name w:val="Strong"/>
    <w:basedOn w:val="11"/>
    <w:qFormat/>
    <w:uiPriority w:val="22"/>
    <w:rPr>
      <w:b/>
      <w:bCs/>
    </w:rPr>
  </w:style>
  <w:style w:type="paragraph" w:styleId="29">
    <w:name w:val="Subtitle"/>
    <w:basedOn w:val="1"/>
    <w:link w:val="77"/>
    <w:qFormat/>
    <w:uiPriority w:val="0"/>
    <w:pPr>
      <w:spacing w:after="0" w:line="240" w:lineRule="auto"/>
      <w:jc w:val="center"/>
      <w:outlineLvl w:val="0"/>
    </w:pPr>
    <w:rPr>
      <w:rFonts w:ascii="Times New Roman" w:hAnsi="Times New Roman" w:eastAsia="Times New Roman" w:cs="Times New Roman"/>
      <w:b/>
      <w:sz w:val="36"/>
      <w:szCs w:val="24"/>
      <w:u w:val="single"/>
      <w:lang w:val="en-GB"/>
    </w:rPr>
  </w:style>
  <w:style w:type="table" w:styleId="30">
    <w:name w:val="Table Columns 1"/>
    <w:basedOn w:val="12"/>
    <w:semiHidden/>
    <w:unhideWhenUsed/>
    <w:qFormat/>
    <w:uiPriority w:val="0"/>
    <w:rPr>
      <w:rFonts w:eastAsia="Times New Roman"/>
      <w:b/>
      <w:bCs/>
      <w:lang w:val="en-GB" w:eastAsia="en-GB" w:bidi="ur-PK"/>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1">
    <w:name w:val="Table Grid"/>
    <w:basedOn w:val="12"/>
    <w:qFormat/>
    <w:uiPriority w:val="39"/>
    <w:rPr>
      <w:color w:val="000000" w:themeColor="text1"/>
      <w:sz w:val="24"/>
      <w:szCs w:val="24"/>
      <w14:textFill>
        <w14:solidFill>
          <w14:schemeClr w14:val="tx1"/>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2">
    <w:name w:val="Title"/>
    <w:basedOn w:val="1"/>
    <w:link w:val="70"/>
    <w:qFormat/>
    <w:uiPriority w:val="10"/>
    <w:pPr>
      <w:spacing w:after="0" w:line="240" w:lineRule="auto"/>
      <w:jc w:val="center"/>
    </w:pPr>
    <w:rPr>
      <w:rFonts w:ascii="Times New Roman" w:hAnsi="Times New Roman" w:eastAsia="PMingLiU" w:cs="Times New Roman"/>
      <w:b/>
      <w:sz w:val="28"/>
      <w:szCs w:val="20"/>
      <w:lang w:eastAsia="zh-TW"/>
    </w:rPr>
  </w:style>
  <w:style w:type="paragraph" w:styleId="33">
    <w:name w:val="toc 1"/>
    <w:basedOn w:val="1"/>
    <w:next w:val="1"/>
    <w:autoRedefine/>
    <w:unhideWhenUsed/>
    <w:qFormat/>
    <w:uiPriority w:val="39"/>
    <w:pPr>
      <w:spacing w:after="100" w:line="480" w:lineRule="auto"/>
      <w:ind w:firstLine="720"/>
      <w:jc w:val="both"/>
    </w:pPr>
    <w:rPr>
      <w:lang w:val="en-GB"/>
    </w:rPr>
  </w:style>
  <w:style w:type="paragraph" w:styleId="34">
    <w:name w:val="toc 2"/>
    <w:basedOn w:val="1"/>
    <w:next w:val="1"/>
    <w:autoRedefine/>
    <w:unhideWhenUsed/>
    <w:qFormat/>
    <w:uiPriority w:val="39"/>
    <w:pPr>
      <w:spacing w:after="100"/>
      <w:ind w:left="220"/>
    </w:pPr>
    <w:rPr>
      <w:rFonts w:ascii="Calibri" w:hAnsi="Calibri" w:eastAsia="Times New Roman" w:cs="Times New Roman"/>
      <w:lang w:eastAsia="ja-JP"/>
    </w:rPr>
  </w:style>
  <w:style w:type="paragraph" w:styleId="35">
    <w:name w:val="toc 3"/>
    <w:basedOn w:val="1"/>
    <w:next w:val="1"/>
    <w:autoRedefine/>
    <w:unhideWhenUsed/>
    <w:qFormat/>
    <w:uiPriority w:val="39"/>
    <w:pPr>
      <w:spacing w:after="100" w:line="360" w:lineRule="auto"/>
      <w:ind w:left="440" w:firstLine="720"/>
      <w:jc w:val="both"/>
    </w:pPr>
    <w:rPr>
      <w:rFonts w:ascii="Calibri" w:hAnsi="Calibri" w:eastAsia="Times New Roman" w:cs="Times New Roman"/>
    </w:rPr>
  </w:style>
  <w:style w:type="paragraph" w:customStyle="1" w:styleId="36">
    <w:name w:val="Paragraph"/>
    <w:basedOn w:val="1"/>
    <w:next w:val="37"/>
    <w:qFormat/>
    <w:uiPriority w:val="0"/>
    <w:pPr>
      <w:widowControl w:val="0"/>
      <w:spacing w:after="60" w:line="240" w:lineRule="auto"/>
      <w:ind w:firstLine="284"/>
    </w:pPr>
  </w:style>
  <w:style w:type="paragraph" w:customStyle="1" w:styleId="37">
    <w:name w:val="First paragraph"/>
    <w:basedOn w:val="1"/>
    <w:next w:val="36"/>
    <w:qFormat/>
    <w:uiPriority w:val="0"/>
    <w:pPr>
      <w:spacing w:after="60" w:line="240" w:lineRule="auto"/>
    </w:pPr>
  </w:style>
  <w:style w:type="character" w:customStyle="1" w:styleId="38">
    <w:name w:val="Heading 1 Char"/>
    <w:basedOn w:val="11"/>
    <w:link w:val="2"/>
    <w:qFormat/>
    <w:uiPriority w:val="9"/>
    <w:rPr>
      <w:rFonts w:asciiTheme="majorHAnsi" w:hAnsiTheme="majorHAnsi" w:eastAsiaTheme="majorEastAsia" w:cstheme="majorBidi"/>
      <w:b/>
      <w:bCs/>
      <w:color w:val="2E75B6" w:themeColor="accent1" w:themeShade="BF"/>
      <w:sz w:val="28"/>
      <w:szCs w:val="28"/>
      <w:lang w:eastAsia="ja-JP"/>
    </w:rPr>
  </w:style>
  <w:style w:type="character" w:customStyle="1" w:styleId="39">
    <w:name w:val="Heading 3 Char"/>
    <w:basedOn w:val="11"/>
    <w:link w:val="4"/>
    <w:qFormat/>
    <w:uiPriority w:val="9"/>
    <w:rPr>
      <w:rFonts w:asciiTheme="majorHAnsi" w:hAnsiTheme="majorHAnsi" w:eastAsiaTheme="majorEastAsia" w:cstheme="majorBidi"/>
      <w:color w:val="1F4E79" w:themeColor="accent1" w:themeShade="80"/>
      <w:sz w:val="24"/>
      <w:szCs w:val="24"/>
    </w:rPr>
  </w:style>
  <w:style w:type="character" w:customStyle="1" w:styleId="40">
    <w:name w:val="Header Char"/>
    <w:basedOn w:val="11"/>
    <w:link w:val="24"/>
    <w:qFormat/>
    <w:uiPriority w:val="99"/>
  </w:style>
  <w:style w:type="character" w:customStyle="1" w:styleId="41">
    <w:name w:val="Footer Char"/>
    <w:basedOn w:val="11"/>
    <w:link w:val="21"/>
    <w:qFormat/>
    <w:uiPriority w:val="99"/>
  </w:style>
  <w:style w:type="character" w:customStyle="1" w:styleId="42">
    <w:name w:val="Balloon Text Char"/>
    <w:basedOn w:val="11"/>
    <w:link w:val="13"/>
    <w:semiHidden/>
    <w:qFormat/>
    <w:uiPriority w:val="99"/>
    <w:rPr>
      <w:rFonts w:ascii="Tahoma" w:hAnsi="Tahoma" w:cs="Tahoma"/>
      <w:sz w:val="16"/>
      <w:szCs w:val="16"/>
    </w:rPr>
  </w:style>
  <w:style w:type="paragraph" w:styleId="43">
    <w:name w:val="List Paragraph"/>
    <w:basedOn w:val="1"/>
    <w:link w:val="59"/>
    <w:qFormat/>
    <w:uiPriority w:val="34"/>
    <w:pPr>
      <w:spacing w:after="160" w:line="259" w:lineRule="auto"/>
      <w:ind w:left="720"/>
      <w:contextualSpacing/>
    </w:pPr>
  </w:style>
  <w:style w:type="character" w:customStyle="1" w:styleId="44">
    <w:name w:val="Footnote Text Char"/>
    <w:basedOn w:val="11"/>
    <w:link w:val="23"/>
    <w:semiHidden/>
    <w:qFormat/>
    <w:uiPriority w:val="0"/>
    <w:rPr>
      <w:sz w:val="20"/>
      <w:szCs w:val="20"/>
    </w:rPr>
  </w:style>
  <w:style w:type="character" w:customStyle="1" w:styleId="45">
    <w:name w:val="posted-on"/>
    <w:basedOn w:val="11"/>
    <w:qFormat/>
    <w:uiPriority w:val="0"/>
  </w:style>
  <w:style w:type="paragraph" w:customStyle="1" w:styleId="46">
    <w:name w:val="western"/>
    <w:qFormat/>
    <w:uiPriority w:val="0"/>
    <w:rPr>
      <w:rFonts w:ascii="Times New Roman" w:hAnsi="Times New Roman" w:eastAsia="SimSun" w:cs="Times New Roman"/>
      <w:lang w:val="en-US" w:eastAsia="zh-CN" w:bidi="ar-SA"/>
    </w:rPr>
  </w:style>
  <w:style w:type="character" w:customStyle="1" w:styleId="47">
    <w:name w:val="Subtle Emphasis1"/>
    <w:basedOn w:val="11"/>
    <w:qFormat/>
    <w:uiPriority w:val="19"/>
    <w:rPr>
      <w:i/>
      <w:iCs/>
      <w:color w:val="808080" w:themeColor="text1" w:themeTint="80"/>
      <w14:textFill>
        <w14:solidFill>
          <w14:schemeClr w14:val="tx1">
            <w14:lumMod w14:val="50000"/>
            <w14:lumOff w14:val="50000"/>
          </w14:schemeClr>
        </w14:solidFill>
      </w14:textFill>
    </w:rPr>
  </w:style>
  <w:style w:type="paragraph" w:customStyle="1" w:styleId="48">
    <w:name w:val="Bibliography1"/>
    <w:basedOn w:val="1"/>
    <w:next w:val="1"/>
    <w:unhideWhenUsed/>
    <w:qFormat/>
    <w:uiPriority w:val="37"/>
  </w:style>
  <w:style w:type="paragraph" w:customStyle="1" w:styleId="49">
    <w:name w:val="EndNote Bibliography"/>
    <w:basedOn w:val="1"/>
    <w:link w:val="50"/>
    <w:qFormat/>
    <w:uiPriority w:val="0"/>
    <w:pPr>
      <w:spacing w:after="160" w:line="240" w:lineRule="auto"/>
    </w:pPr>
    <w:rPr>
      <w:rFonts w:ascii="Times New Roman" w:hAnsi="Times New Roman" w:cs="Times New Roman"/>
      <w:color w:val="000000" w:themeColor="text1"/>
      <w:sz w:val="24"/>
      <w:szCs w:val="24"/>
      <w14:textFill>
        <w14:solidFill>
          <w14:schemeClr w14:val="tx1"/>
        </w14:solidFill>
      </w14:textFill>
    </w:rPr>
  </w:style>
  <w:style w:type="character" w:customStyle="1" w:styleId="50">
    <w:name w:val="EndNote Bibliography Char"/>
    <w:basedOn w:val="11"/>
    <w:link w:val="49"/>
    <w:qFormat/>
    <w:uiPriority w:val="0"/>
    <w:rPr>
      <w:rFonts w:ascii="Times New Roman" w:hAnsi="Times New Roman" w:cs="Times New Roman"/>
      <w:color w:val="000000" w:themeColor="text1"/>
      <w:sz w:val="24"/>
      <w:szCs w:val="24"/>
      <w14:textFill>
        <w14:solidFill>
          <w14:schemeClr w14:val="tx1"/>
        </w14:solidFill>
      </w14:textFill>
    </w:rPr>
  </w:style>
  <w:style w:type="character" w:customStyle="1" w:styleId="51">
    <w:name w:val="Heading 2 Char"/>
    <w:basedOn w:val="11"/>
    <w:link w:val="3"/>
    <w:qFormat/>
    <w:uiPriority w:val="9"/>
    <w:rPr>
      <w:rFonts w:asciiTheme="majorHAnsi" w:hAnsiTheme="majorHAnsi" w:eastAsiaTheme="majorEastAsia" w:cstheme="majorBidi"/>
      <w:color w:val="2E75B6" w:themeColor="accent1" w:themeShade="BF"/>
      <w:sz w:val="26"/>
      <w:szCs w:val="26"/>
    </w:rPr>
  </w:style>
  <w:style w:type="paragraph" w:customStyle="1" w:styleId="52">
    <w:name w:val="Default"/>
    <w:qFormat/>
    <w:uiPriority w:val="0"/>
    <w:pPr>
      <w:suppressAutoHyphens/>
      <w:jc w:val="center"/>
    </w:pPr>
    <w:rPr>
      <w:rFonts w:ascii="Gill Sans MT" w:hAnsi="Gill Sans MT" w:cs="Gill Sans MT" w:eastAsiaTheme="minorHAnsi"/>
      <w:color w:val="000000"/>
      <w:sz w:val="24"/>
      <w:szCs w:val="24"/>
      <w:lang w:val="en-US" w:eastAsia="en-US" w:bidi="ar-SA"/>
    </w:rPr>
  </w:style>
  <w:style w:type="paragraph" w:styleId="53">
    <w:name w:val="No Spacing"/>
    <w:link w:val="68"/>
    <w:qFormat/>
    <w:uiPriority w:val="1"/>
    <w:pPr>
      <w:suppressAutoHyphens/>
      <w:spacing w:beforeAutospacing="1" w:afterAutospacing="1" w:line="360" w:lineRule="auto"/>
      <w:ind w:firstLine="720"/>
      <w:jc w:val="both"/>
    </w:pPr>
    <w:rPr>
      <w:rFonts w:ascii="Times New Roman" w:hAnsi="Times New Roman" w:eastAsia="Calibri" w:cs="Calibri"/>
      <w:color w:val="000000" w:themeColor="text1"/>
      <w:sz w:val="24"/>
      <w:szCs w:val="22"/>
      <w:lang w:val="en-US" w:eastAsia="en-US" w:bidi="ar-SA"/>
      <w14:textFill>
        <w14:solidFill>
          <w14:schemeClr w14:val="tx1"/>
        </w14:solidFill>
      </w14:textFill>
    </w:rPr>
  </w:style>
  <w:style w:type="character" w:customStyle="1" w:styleId="54">
    <w:name w:val="Reference Char"/>
    <w:basedOn w:val="11"/>
    <w:link w:val="55"/>
    <w:qFormat/>
    <w:uiPriority w:val="0"/>
    <w:rPr>
      <w:rFonts w:cs="Times New Roman" w:eastAsiaTheme="minorEastAsia"/>
      <w:color w:val="000000" w:themeColor="text1"/>
      <w:szCs w:val="24"/>
      <w:lang w:bidi="ur-PK"/>
      <w14:textFill>
        <w14:solidFill>
          <w14:schemeClr w14:val="tx1"/>
        </w14:solidFill>
      </w14:textFill>
    </w:rPr>
  </w:style>
  <w:style w:type="paragraph" w:customStyle="1" w:styleId="55">
    <w:name w:val="Reference"/>
    <w:basedOn w:val="1"/>
    <w:link w:val="54"/>
    <w:qFormat/>
    <w:uiPriority w:val="0"/>
    <w:pPr>
      <w:suppressAutoHyphens/>
      <w:spacing w:beforeAutospacing="1" w:after="0" w:afterAutospacing="1" w:line="360" w:lineRule="auto"/>
      <w:ind w:left="720" w:right="720" w:hanging="720"/>
      <w:jc w:val="both"/>
    </w:pPr>
    <w:rPr>
      <w:rFonts w:cs="Times New Roman" w:eastAsiaTheme="minorEastAsia"/>
      <w:color w:val="000000" w:themeColor="text1"/>
      <w:szCs w:val="24"/>
      <w:lang w:bidi="ur-PK"/>
      <w14:textFill>
        <w14:solidFill>
          <w14:schemeClr w14:val="tx1"/>
        </w14:solidFill>
      </w14:textFill>
    </w:rPr>
  </w:style>
  <w:style w:type="character" w:customStyle="1" w:styleId="56">
    <w:name w:val="References Char"/>
    <w:basedOn w:val="11"/>
    <w:link w:val="57"/>
    <w:qFormat/>
    <w:uiPriority w:val="0"/>
    <w:rPr>
      <w:rFonts w:cs="Times New Roman" w:eastAsiaTheme="minorEastAsia"/>
      <w:color w:val="000000" w:themeColor="text1"/>
      <w:szCs w:val="24"/>
      <w:lang w:bidi="ur-PK"/>
      <w14:textFill>
        <w14:solidFill>
          <w14:schemeClr w14:val="tx1"/>
        </w14:solidFill>
      </w14:textFill>
    </w:rPr>
  </w:style>
  <w:style w:type="paragraph" w:customStyle="1" w:styleId="57">
    <w:name w:val="References"/>
    <w:basedOn w:val="1"/>
    <w:link w:val="56"/>
    <w:qFormat/>
    <w:uiPriority w:val="0"/>
    <w:pPr>
      <w:suppressAutoHyphens/>
      <w:spacing w:beforeAutospacing="1" w:after="0" w:afterAutospacing="1" w:line="360" w:lineRule="auto"/>
      <w:ind w:left="720" w:right="720" w:hanging="720"/>
      <w:jc w:val="both"/>
    </w:pPr>
    <w:rPr>
      <w:rFonts w:cs="Times New Roman" w:eastAsiaTheme="minorEastAsia"/>
      <w:color w:val="000000" w:themeColor="text1"/>
      <w:szCs w:val="24"/>
      <w:lang w:bidi="ur-PK"/>
      <w14:textFill>
        <w14:solidFill>
          <w14:schemeClr w14:val="tx1"/>
        </w14:solidFill>
      </w14:textFill>
    </w:rPr>
  </w:style>
  <w:style w:type="character" w:customStyle="1" w:styleId="58">
    <w:name w:val="Comment Text Char"/>
    <w:basedOn w:val="11"/>
    <w:link w:val="16"/>
    <w:semiHidden/>
    <w:qFormat/>
    <w:uiPriority w:val="99"/>
    <w:rPr>
      <w:rFonts w:ascii="Times New Roman" w:hAnsi="Times New Roman" w:eastAsia="Calibri"/>
      <w:color w:val="000000" w:themeColor="text1"/>
      <w:sz w:val="20"/>
      <w:szCs w:val="20"/>
      <w14:textFill>
        <w14:solidFill>
          <w14:schemeClr w14:val="tx1"/>
        </w14:solidFill>
      </w14:textFill>
    </w:rPr>
  </w:style>
  <w:style w:type="character" w:customStyle="1" w:styleId="59">
    <w:name w:val="List Paragraph Char"/>
    <w:basedOn w:val="11"/>
    <w:link w:val="43"/>
    <w:qFormat/>
    <w:uiPriority w:val="34"/>
  </w:style>
  <w:style w:type="character" w:customStyle="1" w:styleId="60">
    <w:name w:val="apple-converted-space"/>
    <w:basedOn w:val="11"/>
    <w:qFormat/>
    <w:uiPriority w:val="0"/>
  </w:style>
  <w:style w:type="paragraph" w:customStyle="1" w:styleId="61">
    <w:name w:val="Body"/>
    <w:qFormat/>
    <w:uiPriority w:val="0"/>
    <w:pPr>
      <w:spacing w:after="240"/>
      <w:jc w:val="both"/>
    </w:pPr>
    <w:rPr>
      <w:rFonts w:ascii="Times New Roman" w:hAnsi="Times New Roman" w:eastAsia="Arial Unicode MS" w:cs="Arial Unicode MS"/>
      <w:color w:val="000000"/>
      <w:sz w:val="24"/>
      <w:szCs w:val="24"/>
      <w:u w:color="000000"/>
      <w:lang w:val="en-US" w:eastAsia="en-US" w:bidi="ar-SA"/>
    </w:rPr>
  </w:style>
  <w:style w:type="character" w:customStyle="1" w:styleId="62">
    <w:name w:val="anchor-text"/>
    <w:basedOn w:val="11"/>
    <w:qFormat/>
    <w:uiPriority w:val="0"/>
  </w:style>
  <w:style w:type="paragraph" w:customStyle="1" w:styleId="63">
    <w:name w:val="Tag Bold"/>
    <w:basedOn w:val="1"/>
    <w:autoRedefine/>
    <w:qFormat/>
    <w:uiPriority w:val="0"/>
    <w:pPr>
      <w:autoSpaceDE w:val="0"/>
      <w:autoSpaceDN w:val="0"/>
      <w:adjustRightInd w:val="0"/>
      <w:spacing w:before="240" w:after="240" w:line="240" w:lineRule="auto"/>
      <w:jc w:val="both"/>
    </w:pPr>
    <w:rPr>
      <w:rFonts w:ascii="Times New Roman" w:hAnsi="Times New Roman" w:eastAsia="Times New Roman" w:cs="Times New Roman"/>
      <w:color w:val="222222"/>
      <w:sz w:val="24"/>
      <w:szCs w:val="24"/>
      <w:shd w:val="clear" w:color="auto" w:fill="FFFFFF"/>
    </w:rPr>
  </w:style>
  <w:style w:type="character" w:customStyle="1" w:styleId="64">
    <w:name w:val="Body Text Char"/>
    <w:basedOn w:val="11"/>
    <w:link w:val="14"/>
    <w:qFormat/>
    <w:uiPriority w:val="1"/>
    <w:rPr>
      <w:rFonts w:asciiTheme="majorBidi" w:hAnsiTheme="majorBidi" w:eastAsiaTheme="minorEastAsia"/>
      <w:sz w:val="24"/>
    </w:rPr>
  </w:style>
  <w:style w:type="paragraph" w:customStyle="1" w:styleId="65">
    <w:name w:val="Author"/>
    <w:qFormat/>
    <w:uiPriority w:val="99"/>
    <w:pPr>
      <w:spacing w:before="360" w:after="40"/>
      <w:jc w:val="center"/>
    </w:pPr>
    <w:rPr>
      <w:rFonts w:ascii="Times New Roman" w:hAnsi="Times New Roman" w:eastAsia="Times New Roman" w:cs="Times New Roman"/>
      <w:sz w:val="22"/>
      <w:szCs w:val="22"/>
      <w:lang w:val="en-US" w:eastAsia="en-US" w:bidi="ar-SA"/>
    </w:rPr>
  </w:style>
  <w:style w:type="paragraph" w:customStyle="1" w:styleId="66">
    <w:name w:val="Affiliation"/>
    <w:qFormat/>
    <w:uiPriority w:val="99"/>
    <w:pPr>
      <w:jc w:val="center"/>
    </w:pPr>
    <w:rPr>
      <w:rFonts w:ascii="Times New Roman" w:hAnsi="Times New Roman" w:eastAsia="Times New Roman" w:cs="Times New Roman"/>
      <w:lang w:val="en-US" w:eastAsia="en-US" w:bidi="ar-SA"/>
    </w:rPr>
  </w:style>
  <w:style w:type="table" w:customStyle="1" w:styleId="67">
    <w:name w:val="Plain Table 21"/>
    <w:basedOn w:val="12"/>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68">
    <w:name w:val="No Spacing Char"/>
    <w:link w:val="53"/>
    <w:qFormat/>
    <w:uiPriority w:val="1"/>
    <w:rPr>
      <w:rFonts w:ascii="Times New Roman" w:hAnsi="Times New Roman" w:eastAsia="Calibri" w:cs="Calibri"/>
      <w:color w:val="000000" w:themeColor="text1"/>
      <w:sz w:val="24"/>
      <w14:textFill>
        <w14:solidFill>
          <w14:schemeClr w14:val="tx1"/>
        </w14:solidFill>
      </w14:textFill>
    </w:rPr>
  </w:style>
  <w:style w:type="character" w:customStyle="1" w:styleId="69">
    <w:name w:val="Unresolved Mention1"/>
    <w:basedOn w:val="11"/>
    <w:semiHidden/>
    <w:unhideWhenUsed/>
    <w:qFormat/>
    <w:uiPriority w:val="99"/>
    <w:rPr>
      <w:color w:val="605E5C"/>
      <w:shd w:val="clear" w:color="auto" w:fill="E1DFDD"/>
    </w:rPr>
  </w:style>
  <w:style w:type="character" w:customStyle="1" w:styleId="70">
    <w:name w:val="Title Char"/>
    <w:basedOn w:val="11"/>
    <w:link w:val="32"/>
    <w:qFormat/>
    <w:uiPriority w:val="10"/>
    <w:rPr>
      <w:rFonts w:ascii="Times New Roman" w:hAnsi="Times New Roman" w:eastAsia="PMingLiU" w:cs="Times New Roman"/>
      <w:b/>
      <w:sz w:val="28"/>
      <w:szCs w:val="20"/>
      <w:lang w:eastAsia="zh-TW"/>
    </w:rPr>
  </w:style>
  <w:style w:type="character" w:customStyle="1" w:styleId="71">
    <w:name w:val="Heading 4 Char"/>
    <w:basedOn w:val="11"/>
    <w:link w:val="5"/>
    <w:qFormat/>
    <w:uiPriority w:val="9"/>
    <w:rPr>
      <w:rFonts w:ascii="Times New Roman" w:hAnsi="Times New Roman" w:eastAsia="Times New Roman" w:cs="Times New Roman"/>
      <w:i/>
      <w:iCs/>
      <w:sz w:val="24"/>
    </w:rPr>
  </w:style>
  <w:style w:type="character" w:customStyle="1" w:styleId="72">
    <w:name w:val="Heading 5 Char"/>
    <w:basedOn w:val="11"/>
    <w:link w:val="6"/>
    <w:qFormat/>
    <w:uiPriority w:val="9"/>
    <w:rPr>
      <w:rFonts w:ascii="Calibri" w:hAnsi="Calibri" w:eastAsia="Times New Roman" w:cs="Times New Roman"/>
      <w:b/>
      <w:bCs/>
      <w:i/>
      <w:iCs/>
      <w:sz w:val="26"/>
      <w:szCs w:val="26"/>
    </w:rPr>
  </w:style>
  <w:style w:type="character" w:customStyle="1" w:styleId="73">
    <w:name w:val="Heading 6 Char"/>
    <w:basedOn w:val="11"/>
    <w:link w:val="7"/>
    <w:semiHidden/>
    <w:qFormat/>
    <w:uiPriority w:val="9"/>
    <w:rPr>
      <w:rFonts w:ascii="Calibri Light" w:hAnsi="Calibri Light" w:eastAsia="Times New Roman" w:cs="Times New Roman"/>
      <w:color w:val="1F3763"/>
      <w:sz w:val="24"/>
    </w:rPr>
  </w:style>
  <w:style w:type="character" w:customStyle="1" w:styleId="74">
    <w:name w:val="Heading 7 Char"/>
    <w:basedOn w:val="11"/>
    <w:link w:val="8"/>
    <w:semiHidden/>
    <w:qFormat/>
    <w:uiPriority w:val="9"/>
    <w:rPr>
      <w:rFonts w:ascii="Calibri Light" w:hAnsi="Calibri Light" w:eastAsia="Times New Roman" w:cs="Times New Roman"/>
      <w:i/>
      <w:iCs/>
      <w:color w:val="1F3763"/>
      <w:sz w:val="24"/>
    </w:rPr>
  </w:style>
  <w:style w:type="character" w:customStyle="1" w:styleId="75">
    <w:name w:val="Heading 8 Char"/>
    <w:basedOn w:val="11"/>
    <w:link w:val="9"/>
    <w:semiHidden/>
    <w:qFormat/>
    <w:uiPriority w:val="9"/>
    <w:rPr>
      <w:rFonts w:ascii="Calibri Light" w:hAnsi="Calibri Light" w:eastAsia="Times New Roman" w:cs="Times New Roman"/>
      <w:color w:val="272727"/>
      <w:sz w:val="21"/>
      <w:szCs w:val="21"/>
    </w:rPr>
  </w:style>
  <w:style w:type="character" w:customStyle="1" w:styleId="76">
    <w:name w:val="Heading 9 Char"/>
    <w:basedOn w:val="11"/>
    <w:link w:val="10"/>
    <w:semiHidden/>
    <w:qFormat/>
    <w:uiPriority w:val="9"/>
    <w:rPr>
      <w:rFonts w:ascii="Calibri Light" w:hAnsi="Calibri Light" w:eastAsia="Times New Roman" w:cs="Times New Roman"/>
      <w:i/>
      <w:iCs/>
      <w:color w:val="272727"/>
      <w:sz w:val="21"/>
      <w:szCs w:val="21"/>
    </w:rPr>
  </w:style>
  <w:style w:type="character" w:customStyle="1" w:styleId="77">
    <w:name w:val="Subtitle Char"/>
    <w:basedOn w:val="11"/>
    <w:link w:val="29"/>
    <w:qFormat/>
    <w:uiPriority w:val="0"/>
    <w:rPr>
      <w:rFonts w:ascii="Times New Roman" w:hAnsi="Times New Roman" w:eastAsia="Times New Roman" w:cs="Times New Roman"/>
      <w:b/>
      <w:sz w:val="36"/>
      <w:szCs w:val="24"/>
      <w:u w:val="single"/>
      <w:lang w:val="en-GB"/>
    </w:rPr>
  </w:style>
  <w:style w:type="character" w:customStyle="1" w:styleId="78">
    <w:name w:val="Endnote Text Char"/>
    <w:basedOn w:val="11"/>
    <w:link w:val="19"/>
    <w:semiHidden/>
    <w:qFormat/>
    <w:uiPriority w:val="99"/>
    <w:rPr>
      <w:rFonts w:ascii="Calibri" w:hAnsi="Calibri" w:eastAsia="Times New Roman" w:cs="Times New Roman"/>
      <w:sz w:val="20"/>
      <w:szCs w:val="20"/>
    </w:rPr>
  </w:style>
  <w:style w:type="character" w:customStyle="1" w:styleId="79">
    <w:name w:val="a"/>
    <w:basedOn w:val="11"/>
    <w:qFormat/>
    <w:uiPriority w:val="0"/>
  </w:style>
  <w:style w:type="character" w:customStyle="1" w:styleId="80">
    <w:name w:val="st"/>
    <w:basedOn w:val="11"/>
    <w:qFormat/>
    <w:uiPriority w:val="0"/>
  </w:style>
  <w:style w:type="character" w:customStyle="1" w:styleId="81">
    <w:name w:val="authors"/>
    <w:qFormat/>
    <w:uiPriority w:val="0"/>
  </w:style>
  <w:style w:type="character" w:customStyle="1" w:styleId="82">
    <w:name w:val="Date1"/>
    <w:qFormat/>
    <w:uiPriority w:val="0"/>
  </w:style>
  <w:style w:type="character" w:customStyle="1" w:styleId="83">
    <w:name w:val="art_title"/>
    <w:qFormat/>
    <w:uiPriority w:val="0"/>
  </w:style>
  <w:style w:type="character" w:customStyle="1" w:styleId="84">
    <w:name w:val="serial_title"/>
    <w:qFormat/>
    <w:uiPriority w:val="0"/>
  </w:style>
  <w:style w:type="character" w:customStyle="1" w:styleId="85">
    <w:name w:val="volume_issue"/>
    <w:qFormat/>
    <w:uiPriority w:val="0"/>
  </w:style>
  <w:style w:type="character" w:customStyle="1" w:styleId="86">
    <w:name w:val="page_range"/>
    <w:qFormat/>
    <w:uiPriority w:val="0"/>
  </w:style>
  <w:style w:type="character" w:customStyle="1" w:styleId="87">
    <w:name w:val="doi_link"/>
    <w:qFormat/>
    <w:uiPriority w:val="0"/>
  </w:style>
  <w:style w:type="paragraph" w:customStyle="1" w:styleId="88">
    <w:name w:val="TOC Heading1"/>
    <w:basedOn w:val="2"/>
    <w:next w:val="1"/>
    <w:unhideWhenUsed/>
    <w:qFormat/>
    <w:uiPriority w:val="39"/>
    <w:pPr>
      <w:spacing w:before="240" w:line="360" w:lineRule="auto"/>
      <w:ind w:firstLine="720"/>
      <w:jc w:val="both"/>
      <w:outlineLvl w:val="9"/>
    </w:pPr>
    <w:rPr>
      <w:rFonts w:ascii="Calibri Light" w:hAnsi="Calibri Light" w:eastAsia="Times New Roman" w:cs="Times New Roman"/>
      <w:b w:val="0"/>
      <w:bCs w:val="0"/>
      <w:color w:val="2F5496"/>
      <w:sz w:val="32"/>
      <w:szCs w:val="32"/>
      <w:lang w:eastAsia="en-US"/>
    </w:rPr>
  </w:style>
  <w:style w:type="paragraph" w:customStyle="1" w:styleId="89">
    <w:name w:val="EndNote Bibliography Title"/>
    <w:basedOn w:val="1"/>
    <w:link w:val="90"/>
    <w:qFormat/>
    <w:uiPriority w:val="0"/>
    <w:pPr>
      <w:spacing w:after="0" w:line="259" w:lineRule="auto"/>
      <w:jc w:val="center"/>
    </w:pPr>
    <w:rPr>
      <w:rFonts w:ascii="Calibri" w:hAnsi="Calibri" w:eastAsia="Calibri" w:cs="Calibri"/>
      <w:kern w:val="2"/>
    </w:rPr>
  </w:style>
  <w:style w:type="character" w:customStyle="1" w:styleId="90">
    <w:name w:val="EndNote Bibliography Title Char"/>
    <w:link w:val="89"/>
    <w:qFormat/>
    <w:uiPriority w:val="0"/>
    <w:rPr>
      <w:rFonts w:ascii="Calibri" w:hAnsi="Calibri" w:eastAsia="Calibri" w:cs="Calibri"/>
      <w:kern w:val="2"/>
    </w:rPr>
  </w:style>
  <w:style w:type="character" w:customStyle="1" w:styleId="91">
    <w:name w:val="Unresolved Mention11"/>
    <w:semiHidden/>
    <w:unhideWhenUsed/>
    <w:qFormat/>
    <w:uiPriority w:val="99"/>
    <w:rPr>
      <w:color w:val="605E5C"/>
      <w:shd w:val="clear" w:color="auto" w:fill="E1DFDD"/>
    </w:rPr>
  </w:style>
  <w:style w:type="table" w:customStyle="1" w:styleId="92">
    <w:name w:val="Grid Table 1 Light1"/>
    <w:basedOn w:val="12"/>
    <w:qFormat/>
    <w:uiPriority w:val="46"/>
    <w:rPr>
      <w:rFonts w:ascii="Calibri" w:hAnsi="Calibri" w:eastAsia="Calibri"/>
      <w:lang w:bidi="ur-PK"/>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character" w:customStyle="1" w:styleId="93">
    <w:name w:val="ref-lnk"/>
    <w:qFormat/>
    <w:uiPriority w:val="0"/>
  </w:style>
  <w:style w:type="character" w:customStyle="1" w:styleId="94">
    <w:name w:val="jss207"/>
    <w:qFormat/>
    <w:uiPriority w:val="0"/>
  </w:style>
  <w:style w:type="paragraph" w:customStyle="1" w:styleId="95">
    <w:name w:val="Pa12"/>
    <w:basedOn w:val="52"/>
    <w:next w:val="52"/>
    <w:qFormat/>
    <w:uiPriority w:val="99"/>
    <w:pPr>
      <w:suppressAutoHyphens w:val="0"/>
      <w:autoSpaceDE w:val="0"/>
      <w:autoSpaceDN w:val="0"/>
      <w:adjustRightInd w:val="0"/>
      <w:spacing w:line="221" w:lineRule="atLeast"/>
      <w:ind w:firstLine="720"/>
      <w:jc w:val="both"/>
    </w:pPr>
    <w:rPr>
      <w:rFonts w:ascii="Times New Roman" w:hAnsi="Times New Roman" w:eastAsia="Calibri" w:cs="Times New Roman"/>
      <w:color w:val="auto"/>
    </w:rPr>
  </w:style>
  <w:style w:type="character" w:customStyle="1" w:styleId="96">
    <w:name w:val="fontstyle01"/>
    <w:qFormat/>
    <w:uiPriority w:val="0"/>
    <w:rPr>
      <w:rFonts w:hint="eastAsia" w:ascii="TimesNewRomanPSMT" w:hAnsi="TimesNewRomanPSMT" w:eastAsia="TimesNewRomanPSMT"/>
      <w:color w:val="242021"/>
      <w:sz w:val="20"/>
      <w:szCs w:val="20"/>
    </w:rPr>
  </w:style>
  <w:style w:type="table" w:customStyle="1" w:styleId="97">
    <w:name w:val="Table Grid1"/>
    <w:basedOn w:val="12"/>
    <w:unhideWhenUsed/>
    <w:qFormat/>
    <w:uiPriority w:val="59"/>
    <w:rPr>
      <w:rFonts w:ascii="Calibri" w:hAnsi="Calibri" w:eastAsia="Times New Roman"/>
      <w:lang w:val="en-GB" w:eastAsia="en-GB" w:bidi="ur-P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8">
    <w:name w:val="MDPI_3.1_text"/>
    <w:qFormat/>
    <w:uiPriority w:val="0"/>
    <w:pPr>
      <w:adjustRightInd w:val="0"/>
      <w:snapToGrid w:val="0"/>
      <w:spacing w:line="228" w:lineRule="auto"/>
      <w:ind w:left="2608" w:firstLine="425"/>
      <w:jc w:val="both"/>
    </w:pPr>
    <w:rPr>
      <w:rFonts w:ascii="Palatino Linotype" w:hAnsi="Palatino Linotype" w:eastAsia="Times New Roman" w:cs="Times New Roman"/>
      <w:snapToGrid w:val="0"/>
      <w:color w:val="000000"/>
      <w:szCs w:val="22"/>
      <w:lang w:val="en-US" w:eastAsia="de-DE" w:bidi="en-US"/>
    </w:rPr>
  </w:style>
  <w:style w:type="table" w:customStyle="1" w:styleId="99">
    <w:name w:val="Grid Table 1 Light2"/>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0">
    <w:name w:val="Table Paragraph"/>
    <w:basedOn w:val="1"/>
    <w:qFormat/>
    <w:uiPriority w:val="1"/>
    <w:pPr>
      <w:spacing w:line="217" w:lineRule="exact"/>
      <w:jc w:val="center"/>
    </w:pPr>
  </w:style>
  <w:style w:type="paragraph" w:customStyle="1" w:styleId="101">
    <w:name w:val="Abstract"/>
    <w:basedOn w:val="1"/>
    <w:next w:val="102"/>
    <w:qFormat/>
    <w:uiPriority w:val="0"/>
    <w:pPr>
      <w:spacing w:after="60" w:line="240" w:lineRule="auto"/>
      <w:ind w:left="720" w:right="567"/>
    </w:pPr>
  </w:style>
  <w:style w:type="paragraph" w:customStyle="1" w:styleId="102">
    <w:name w:val="Keywords"/>
    <w:basedOn w:val="1"/>
    <w:next w:val="36"/>
    <w:qFormat/>
    <w:uiPriority w:val="0"/>
    <w:pPr>
      <w:spacing w:after="120"/>
      <w:ind w:left="720" w:right="567"/>
    </w:pPr>
    <w:rPr>
      <w:i/>
    </w:rPr>
  </w:style>
  <w:style w:type="paragraph" w:customStyle="1" w:styleId="103">
    <w:name w:val="Text"/>
    <w:basedOn w:val="1"/>
    <w:qFormat/>
    <w:uiPriority w:val="0"/>
    <w:pPr>
      <w:spacing w:line="252" w:lineRule="auto"/>
      <w:ind w:firstLine="202"/>
      <w:jc w:val="both"/>
    </w:pPr>
    <w:rPr>
      <w:sz w:val="20"/>
      <w:szCs w:val="20"/>
    </w:rPr>
  </w:style>
  <w:style w:type="character" w:customStyle="1" w:styleId="104">
    <w:name w:val="Intense Emphasis1"/>
    <w:basedOn w:val="11"/>
    <w:qFormat/>
    <w:uiPriority w:val="21"/>
    <w:rPr>
      <w:b/>
      <w:bCs/>
      <w:i/>
      <w:iCs/>
      <w:color w:val="5B9BD5" w:themeColor="accent1"/>
      <w14:textFill>
        <w14:solidFill>
          <w14:schemeClr w14:val="accent1"/>
        </w14:solidFill>
      </w14:textFill>
    </w:rPr>
  </w:style>
  <w:style w:type="table" w:customStyle="1" w:styleId="105">
    <w:name w:val="Table Grid Light1"/>
    <w:basedOn w:val="12"/>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06">
    <w:name w:val="Grid Table 4 - Accent 11"/>
    <w:basedOn w:val="12"/>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07">
    <w:name w:val="Grid Table 3 Accent 2"/>
    <w:basedOn w:val="12"/>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108">
    <w:name w:val="Grid Table 4 Accent 1"/>
    <w:basedOn w:val="12"/>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09">
    <w:name w:val="Plain Table 2"/>
    <w:basedOn w:val="12"/>
    <w:qFormat/>
    <w:uiPriority w:val="42"/>
    <w:pPr>
      <w:jc w:val="center"/>
    </w:p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cPr>
      <w:vAlign w:val="center"/>
    </w:tcPr>
    <w:tblStylePr w:type="firstRow">
      <w:rPr>
        <w:b/>
        <w:bCs/>
      </w:rPr>
      <w:tcPr>
        <w:tcBorders>
          <w:bottom w:val="single" w:color="000000" w:themeColor="text1" w:sz="4" w:space="0"/>
        </w:tcBorders>
      </w:tcPr>
    </w:tblStylePr>
    <w:tblStylePr w:type="lastRow">
      <w:rPr>
        <w:b/>
        <w:bCs/>
      </w:rPr>
      <w:tcPr>
        <w:tcBorders>
          <w:top w:val="single" w:color="000000" w:themeColor="text1" w:sz="4" w:space="0"/>
        </w:tcBorders>
      </w:tcPr>
    </w:tblStylePr>
    <w:tblStylePr w:type="firstCol">
      <w:rPr>
        <w:b/>
        <w:bCs/>
      </w:rPr>
    </w:tblStylePr>
    <w:tblStylePr w:type="lastCol">
      <w:rPr>
        <w:b/>
        <w:bCs/>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10">
    <w:name w:val="Plain Table 1"/>
    <w:basedOn w:val="12"/>
    <w:qFormat/>
    <w:uiPriority w:val="99"/>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11">
    <w:name w:val="Normal11"/>
    <w:basedOn w:val="52"/>
    <w:qFormat/>
    <w:uiPriority w:val="0"/>
    <w:pPr>
      <w:spacing w:line="176" w:lineRule="atLeast"/>
    </w:pPr>
    <w:rPr>
      <w:sz w:val="18"/>
      <w:szCs w:val="18"/>
    </w:rPr>
  </w:style>
  <w:style w:type="table" w:customStyle="1" w:styleId="112">
    <w:name w:val="Light Grid - Accent 11"/>
    <w:basedOn w:val="12"/>
    <w:qFormat/>
    <w:uiPriority w:val="62"/>
    <w:rPr>
      <w:rFonts w:asciiTheme="minorHAnsi" w:hAnsiTheme="minorHAnsi" w:eastAsiaTheme="minorEastAsia" w:cstheme="minorBidi"/>
      <w:sz w:val="22"/>
      <w:szCs w:val="22"/>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paragraph" w:customStyle="1" w:styleId="113">
    <w:name w:val="Thesis"/>
    <w:basedOn w:val="43"/>
    <w:qFormat/>
    <w:uiPriority w:val="0"/>
    <w:pPr>
      <w:ind w:left="0"/>
    </w:pPr>
    <w:rPr>
      <w:rFonts w:cs="Times New Roman"/>
      <w:color w:val="000000" w:themeColor="text1"/>
      <w:szCs w:val="24"/>
      <w14:textFill>
        <w14:solidFill>
          <w14:schemeClr w14:val="tx1"/>
        </w14:solidFill>
      </w14:textFill>
    </w:rPr>
  </w:style>
  <w:style w:type="table" w:customStyle="1" w:styleId="114">
    <w:name w:val="_Style 10"/>
    <w:basedOn w:val="115"/>
    <w:qFormat/>
    <w:uiPriority w:val="0"/>
  </w:style>
  <w:style w:type="table" w:customStyle="1" w:styleId="115">
    <w:name w:val="TableNormal"/>
    <w:qFormat/>
    <w:uiPriority w:val="0"/>
    <w:tblPr>
      <w:tblCellMar>
        <w:top w:w="100" w:type="dxa"/>
        <w:left w:w="100" w:type="dxa"/>
        <w:bottom w:w="100" w:type="dxa"/>
        <w:right w:w="100" w:type="dxa"/>
      </w:tblCellMar>
    </w:tblPr>
  </w:style>
  <w:style w:type="table" w:customStyle="1" w:styleId="116">
    <w:name w:val="_Style 11"/>
    <w:basedOn w:val="115"/>
    <w:qFormat/>
    <w:uiPriority w:val="0"/>
  </w:style>
  <w:style w:type="table" w:customStyle="1" w:styleId="117">
    <w:name w:val="_Style 12"/>
    <w:basedOn w:val="115"/>
    <w:qFormat/>
    <w:uiPriority w:val="0"/>
  </w:style>
  <w:style w:type="table" w:customStyle="1" w:styleId="118">
    <w:name w:val="_Style 13"/>
    <w:basedOn w:val="115"/>
    <w:qFormat/>
    <w:uiPriority w:val="0"/>
  </w:style>
  <w:style w:type="table" w:customStyle="1" w:styleId="119">
    <w:name w:val="List Table 6 Colorful"/>
    <w:basedOn w:val="12"/>
    <w:qFormat/>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120">
    <w:name w:val="font-claude-response-body"/>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IEER</Company>
  <Pages>17</Pages>
  <Words>6377</Words>
  <Characters>40770</Characters>
  <Lines>274</Lines>
  <Paragraphs>77</Paragraphs>
  <TotalTime>7</TotalTime>
  <ScaleCrop>false</ScaleCrop>
  <LinksUpToDate>false</LinksUpToDate>
  <CharactersWithSpaces>46842</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2024-05-14T16:59:00Z</dcterms:created>
  <dc:creator>International Journal of Contemporary Issues in Social Sciences</dc:creator>
  <cp:lastModifiedBy>WPS_1728360255</cp:lastModifiedBy>
  <cp:lastPrinted>2024-05-17T10:44:00Z</cp:lastPrinted>
  <dcterms:modified xsi:type="dcterms:W3CDTF">2026-07-05T09:06:24Z</dcterms:modified>
  <dc:title>International Journal of Social Sciences Bulletin                                                                Volume 1, Issue 1, 2023</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7ED41CFE584C437FA5191A34FE1D810A_13</vt:lpwstr>
  </property>
  <property fmtid="{D5CDD505-2E9C-101B-9397-08002B2CF9AE}" pid="4" name="KSOTemplateDocerSaveRecord">
    <vt:lpwstr>eyJoZGlkIjoiODlkMzQ1YmQ2M2RjZmY1ZWU3MWRjYWU5YTg5NjlkMTgiLCJ1c2VySWQiOiI4ODEzODUxMzIwNzcyIn0=</vt:lpwstr>
  </property>
</Properties>
</file>